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BB" w:rsidRPr="006A47CF" w:rsidRDefault="001D0EBB" w:rsidP="001D0EBB">
      <w:pPr>
        <w:rPr>
          <w:b/>
          <w:lang w:val="sr-Cyrl-BA"/>
        </w:rPr>
      </w:pPr>
    </w:p>
    <w:p w:rsidR="00C675ED" w:rsidRDefault="00C675ED" w:rsidP="00012395">
      <w:pPr>
        <w:rPr>
          <w:rFonts w:ascii="Arial" w:hAnsi="Arial" w:cs="Arial"/>
          <w:sz w:val="20"/>
          <w:szCs w:val="20"/>
        </w:rPr>
      </w:pPr>
    </w:p>
    <w:p w:rsidR="00D066EA" w:rsidRPr="00D12B06" w:rsidRDefault="00223B66" w:rsidP="00012395">
      <w:pPr>
        <w:rPr>
          <w:rFonts w:asciiTheme="minorHAnsi" w:hAnsiTheme="minorHAnsi" w:cstheme="minorHAnsi"/>
          <w:lang w:val="sr-Cyrl-CS"/>
        </w:rPr>
      </w:pPr>
      <w:r>
        <w:rPr>
          <w:rFonts w:asciiTheme="minorHAnsi" w:hAnsiTheme="minorHAnsi" w:cstheme="minorHAnsi"/>
          <w:lang w:val="sr-Cyrl-CS"/>
        </w:rPr>
        <w:t>ОИЕ БИМ д.о.о.</w:t>
      </w:r>
    </w:p>
    <w:p w:rsidR="00D066EA" w:rsidRPr="00D12B06" w:rsidRDefault="00D066EA" w:rsidP="00012395">
      <w:pPr>
        <w:rPr>
          <w:rFonts w:asciiTheme="minorHAnsi" w:hAnsiTheme="minorHAnsi" w:cstheme="minorHAnsi"/>
          <w:lang w:val="sr-Cyrl-CS"/>
        </w:rPr>
      </w:pPr>
      <w:r w:rsidRPr="00D12B06">
        <w:rPr>
          <w:rFonts w:asciiTheme="minorHAnsi" w:hAnsiTheme="minorHAnsi" w:cstheme="minorHAnsi"/>
          <w:lang w:val="sr-Cyrl-CS"/>
        </w:rPr>
        <w:t xml:space="preserve"> </w:t>
      </w:r>
    </w:p>
    <w:p w:rsidR="00AD430F" w:rsidRPr="00D12B06" w:rsidRDefault="00AD430F" w:rsidP="00012395">
      <w:pPr>
        <w:rPr>
          <w:rFonts w:asciiTheme="minorHAnsi" w:hAnsiTheme="minorHAnsi" w:cstheme="minorHAnsi"/>
          <w:lang w:val="sr-Cyrl-BA"/>
        </w:rPr>
      </w:pPr>
      <w:r w:rsidRPr="00D12B06">
        <w:rPr>
          <w:rFonts w:asciiTheme="minorHAnsi" w:hAnsiTheme="minorHAnsi" w:cstheme="minorHAnsi"/>
          <w:lang w:val="sr-Cyrl-CS"/>
        </w:rPr>
        <w:t>Број:</w:t>
      </w:r>
      <w:r w:rsidR="00F901D0" w:rsidRPr="00D12B06">
        <w:rPr>
          <w:rFonts w:asciiTheme="minorHAnsi" w:hAnsiTheme="minorHAnsi" w:cstheme="minorHAnsi"/>
        </w:rPr>
        <w:t xml:space="preserve"> </w:t>
      </w:r>
    </w:p>
    <w:p w:rsidR="00AD430F" w:rsidRPr="00D12B06" w:rsidRDefault="00AD430F" w:rsidP="00DB04D4">
      <w:pPr>
        <w:rPr>
          <w:rFonts w:asciiTheme="minorHAnsi" w:hAnsiTheme="minorHAnsi" w:cstheme="minorHAnsi"/>
          <w:lang w:val="sr-Cyrl-CS"/>
        </w:rPr>
      </w:pPr>
      <w:r w:rsidRPr="00D12B06">
        <w:rPr>
          <w:rFonts w:asciiTheme="minorHAnsi" w:hAnsiTheme="minorHAnsi" w:cstheme="minorHAnsi"/>
          <w:lang w:val="sr-Cyrl-CS"/>
        </w:rPr>
        <w:t>Датум:</w:t>
      </w:r>
      <w:r w:rsidR="00790A9D" w:rsidRPr="00D12B06">
        <w:rPr>
          <w:rFonts w:asciiTheme="minorHAnsi" w:hAnsiTheme="minorHAnsi" w:cstheme="minorHAnsi"/>
          <w:lang w:val="bs-Latn-BA"/>
        </w:rPr>
        <w:t xml:space="preserve"> </w:t>
      </w:r>
    </w:p>
    <w:p w:rsidR="00AD430F" w:rsidRPr="00371DBE" w:rsidRDefault="00AD430F" w:rsidP="00DB04D4">
      <w:pPr>
        <w:rPr>
          <w:rFonts w:ascii="Calibri" w:hAnsi="Calibri" w:cs="Calibri"/>
          <w:szCs w:val="22"/>
          <w:lang w:val="sr-Cyrl-CS"/>
        </w:rPr>
      </w:pPr>
    </w:p>
    <w:p w:rsidR="00DB04D4" w:rsidRPr="00CC2470" w:rsidRDefault="00DB04D4" w:rsidP="00DB04D4">
      <w:pPr>
        <w:rPr>
          <w:rFonts w:ascii="Calibri" w:hAnsi="Calibri" w:cs="Calibri"/>
          <w:szCs w:val="22"/>
          <w:lang w:val="bs-Latn-BA"/>
        </w:rPr>
      </w:pPr>
    </w:p>
    <w:p w:rsidR="00DB04D4" w:rsidRDefault="00DB04D4" w:rsidP="00DB04D4">
      <w:pPr>
        <w:rPr>
          <w:rFonts w:ascii="Calibri" w:hAnsi="Calibri" w:cs="Calibri"/>
          <w:szCs w:val="22"/>
        </w:rPr>
      </w:pPr>
    </w:p>
    <w:p w:rsidR="00DB04D4" w:rsidRDefault="00DB04D4" w:rsidP="00DB04D4">
      <w:pPr>
        <w:jc w:val="both"/>
        <w:rPr>
          <w:rFonts w:ascii="Calibri" w:hAnsi="Calibri" w:cs="Calibri"/>
          <w:szCs w:val="22"/>
        </w:rPr>
      </w:pPr>
    </w:p>
    <w:p w:rsidR="00C769A5" w:rsidRDefault="006A47CF" w:rsidP="00DB04D4">
      <w:pPr>
        <w:jc w:val="both"/>
        <w:rPr>
          <w:rFonts w:ascii="Calibri" w:hAnsi="Calibri"/>
          <w:lang w:val="sr-Cyrl-BA"/>
        </w:rPr>
      </w:pPr>
      <w:r>
        <w:rPr>
          <w:rFonts w:ascii="Calibri" w:hAnsi="Calibri" w:cs="Calibri"/>
          <w:szCs w:val="22"/>
          <w:lang w:val="sr-Cyrl-CS"/>
        </w:rPr>
        <w:t xml:space="preserve">       Независни ревизор </w:t>
      </w:r>
      <w:r>
        <w:rPr>
          <w:rFonts w:ascii="Calibri" w:hAnsi="Calibri" w:cs="Calibri"/>
          <w:szCs w:val="22"/>
          <w:lang w:val="sr-Latn-CS"/>
        </w:rPr>
        <w:t xml:space="preserve">Grant Thornton </w:t>
      </w:r>
      <w:r>
        <w:rPr>
          <w:rFonts w:ascii="Calibri" w:hAnsi="Calibri" w:cs="Calibri"/>
          <w:szCs w:val="22"/>
          <w:lang w:val="sr-Cyrl-BA"/>
        </w:rPr>
        <w:t>д.о.о. Бања Лука</w:t>
      </w:r>
      <w:r w:rsidR="00DB04D4" w:rsidRPr="001E262D">
        <w:rPr>
          <w:rFonts w:ascii="Calibri" w:hAnsi="Calibri" w:cs="Calibri"/>
          <w:szCs w:val="22"/>
          <w:lang w:val="sr-Cyrl-CS"/>
        </w:rPr>
        <w:t xml:space="preserve"> је извршио преглед пословних књига </w:t>
      </w:r>
      <w:r w:rsidR="00223B66">
        <w:rPr>
          <w:rFonts w:ascii="Calibri" w:hAnsi="Calibri" w:cs="Calibri"/>
          <w:szCs w:val="22"/>
          <w:lang w:val="sr-Cyrl-CS"/>
        </w:rPr>
        <w:t>ОИЕ БИМ д.о.о.</w:t>
      </w:r>
      <w:r w:rsidR="00DB04D4" w:rsidRPr="001E262D">
        <w:rPr>
          <w:rFonts w:ascii="Calibri" w:hAnsi="Calibri" w:cs="Calibri"/>
          <w:szCs w:val="22"/>
          <w:lang w:val="sr-Cyrl-CS"/>
        </w:rPr>
        <w:t xml:space="preserve"> </w:t>
      </w:r>
      <w:r w:rsidR="00A7666B">
        <w:rPr>
          <w:rFonts w:ascii="Calibri" w:hAnsi="Calibri" w:cs="Calibri"/>
          <w:szCs w:val="22"/>
          <w:lang w:val="sr-Cyrl-CS"/>
        </w:rPr>
        <w:t>Пале</w:t>
      </w:r>
      <w:r w:rsidR="00DB04D4" w:rsidRPr="001E262D">
        <w:rPr>
          <w:rFonts w:ascii="Calibri" w:hAnsi="Calibri" w:cs="Calibri"/>
          <w:szCs w:val="22"/>
          <w:lang w:val="sr-Cyrl-CS"/>
        </w:rPr>
        <w:t xml:space="preserve"> и доставио Извјештај о извршеној ревизији за 20</w:t>
      </w:r>
      <w:r w:rsidR="006C3842">
        <w:rPr>
          <w:rFonts w:ascii="Calibri" w:hAnsi="Calibri" w:cs="Calibri"/>
          <w:szCs w:val="22"/>
          <w:lang w:val="sr-Latn-BA"/>
        </w:rPr>
        <w:t>2</w:t>
      </w:r>
      <w:r w:rsidR="00C769A5">
        <w:rPr>
          <w:rFonts w:ascii="Calibri" w:hAnsi="Calibri" w:cs="Calibri"/>
          <w:szCs w:val="22"/>
        </w:rPr>
        <w:t>3</w:t>
      </w:r>
      <w:r w:rsidR="00DB04D4" w:rsidRPr="001E262D">
        <w:rPr>
          <w:rFonts w:ascii="Calibri" w:hAnsi="Calibri" w:cs="Calibri"/>
          <w:szCs w:val="22"/>
          <w:lang w:val="sr-Cyrl-CS"/>
        </w:rPr>
        <w:t>.</w:t>
      </w:r>
      <w:r w:rsidR="00DB04D4">
        <w:rPr>
          <w:rFonts w:ascii="Calibri" w:hAnsi="Calibri" w:cs="Calibri"/>
          <w:szCs w:val="22"/>
          <w:lang w:val="sr-Cyrl-CS"/>
        </w:rPr>
        <w:t xml:space="preserve"> </w:t>
      </w:r>
      <w:r w:rsidR="00DB04D4" w:rsidRPr="001E262D">
        <w:rPr>
          <w:rFonts w:ascii="Calibri" w:hAnsi="Calibri" w:cs="Calibri"/>
          <w:szCs w:val="22"/>
          <w:lang w:val="sr-Cyrl-CS"/>
        </w:rPr>
        <w:t xml:space="preserve">годину у којем је исказао </w:t>
      </w:r>
      <w:r w:rsidR="00411846" w:rsidRPr="00411846">
        <w:rPr>
          <w:rFonts w:ascii="Calibri" w:hAnsi="Calibri"/>
          <w:lang w:val="sr-Cyrl-BA"/>
        </w:rPr>
        <w:t>позитивно</w:t>
      </w:r>
      <w:r w:rsidR="00223B66">
        <w:rPr>
          <w:rFonts w:ascii="Calibri" w:hAnsi="Calibri"/>
          <w:lang w:val="sr-Cyrl-BA"/>
        </w:rPr>
        <w:t xml:space="preserve"> мишљење</w:t>
      </w:r>
      <w:r w:rsidR="00C769A5">
        <w:rPr>
          <w:rFonts w:ascii="Calibri" w:hAnsi="Calibri"/>
          <w:lang w:val="sr-Cyrl-BA"/>
        </w:rPr>
        <w:t>.</w:t>
      </w:r>
    </w:p>
    <w:p w:rsidR="00C769A5" w:rsidRDefault="00C769A5" w:rsidP="00DB04D4">
      <w:pPr>
        <w:jc w:val="both"/>
        <w:rPr>
          <w:rFonts w:ascii="Calibri" w:hAnsi="Calibri"/>
          <w:lang w:val="sr-Cyrl-BA"/>
        </w:rPr>
      </w:pPr>
    </w:p>
    <w:p w:rsidR="00DB04D4" w:rsidRDefault="00411846" w:rsidP="00DB04D4">
      <w:pPr>
        <w:jc w:val="both"/>
        <w:rPr>
          <w:rFonts w:ascii="Calibri" w:hAnsi="Calibri" w:cs="Calibri"/>
          <w:szCs w:val="22"/>
        </w:rPr>
      </w:pPr>
      <w:r w:rsidRPr="00411846">
        <w:rPr>
          <w:rFonts w:ascii="Calibri" w:hAnsi="Calibri"/>
          <w:lang w:val="sr-Cyrl-BA"/>
        </w:rPr>
        <w:t xml:space="preserve"> </w:t>
      </w:r>
      <w:r w:rsidR="00DB04D4" w:rsidRPr="001E262D">
        <w:rPr>
          <w:rFonts w:ascii="Calibri" w:hAnsi="Calibri" w:cs="Calibri"/>
          <w:szCs w:val="22"/>
          <w:lang w:val="sr-Cyrl-CS"/>
        </w:rPr>
        <w:t xml:space="preserve">У Акционом плану </w:t>
      </w:r>
      <w:r w:rsidR="00223B66">
        <w:rPr>
          <w:rFonts w:ascii="Calibri" w:hAnsi="Calibri" w:cs="Calibri"/>
          <w:szCs w:val="22"/>
          <w:lang w:val="sr-Cyrl-RS"/>
        </w:rPr>
        <w:t>ОИЕ БИМ д.о.о.</w:t>
      </w:r>
      <w:r w:rsidR="00DB04D4" w:rsidRPr="001E262D">
        <w:rPr>
          <w:rFonts w:ascii="Calibri" w:hAnsi="Calibri" w:cs="Calibri"/>
          <w:szCs w:val="22"/>
          <w:lang w:val="sr-Cyrl-CS"/>
        </w:rPr>
        <w:t xml:space="preserve"> су предложене мјере,</w:t>
      </w:r>
      <w:r w:rsidR="00DB04D4">
        <w:rPr>
          <w:rFonts w:ascii="Calibri" w:hAnsi="Calibri" w:cs="Calibri"/>
          <w:szCs w:val="22"/>
        </w:rPr>
        <w:t xml:space="preserve"> </w:t>
      </w:r>
      <w:r w:rsidR="00DB04D4" w:rsidRPr="001E262D">
        <w:rPr>
          <w:rFonts w:ascii="Calibri" w:hAnsi="Calibri" w:cs="Calibri"/>
          <w:szCs w:val="22"/>
          <w:lang w:val="sr-Cyrl-CS"/>
        </w:rPr>
        <w:t xml:space="preserve">носиоци </w:t>
      </w:r>
      <w:r w:rsidR="00DB04D4">
        <w:rPr>
          <w:rFonts w:ascii="Calibri" w:hAnsi="Calibri" w:cs="Calibri"/>
          <w:szCs w:val="22"/>
          <w:lang w:val="sr-Cyrl-CS"/>
        </w:rPr>
        <w:t>активности и рокови за извршење</w:t>
      </w:r>
      <w:r w:rsidR="00DB04D4" w:rsidRPr="001E262D">
        <w:rPr>
          <w:rFonts w:ascii="Calibri" w:hAnsi="Calibri" w:cs="Calibri"/>
          <w:szCs w:val="22"/>
          <w:lang w:val="sr-Cyrl-CS"/>
        </w:rPr>
        <w:t>,</w:t>
      </w:r>
      <w:r w:rsidR="00DB04D4">
        <w:rPr>
          <w:rFonts w:ascii="Calibri" w:hAnsi="Calibri" w:cs="Calibri"/>
          <w:szCs w:val="22"/>
        </w:rPr>
        <w:t xml:space="preserve"> </w:t>
      </w:r>
      <w:r w:rsidR="00DB04D4">
        <w:rPr>
          <w:rFonts w:ascii="Calibri" w:hAnsi="Calibri" w:cs="Calibri"/>
          <w:szCs w:val="22"/>
          <w:lang w:val="sr-Cyrl-CS"/>
        </w:rPr>
        <w:t>а састој</w:t>
      </w:r>
      <w:r w:rsidR="00333439">
        <w:rPr>
          <w:rFonts w:ascii="Calibri" w:hAnsi="Calibri" w:cs="Calibri"/>
          <w:szCs w:val="22"/>
        </w:rPr>
        <w:t>и</w:t>
      </w:r>
      <w:r w:rsidR="00DB04D4">
        <w:rPr>
          <w:rFonts w:ascii="Calibri" w:hAnsi="Calibri" w:cs="Calibri"/>
          <w:szCs w:val="22"/>
          <w:lang w:val="sr-Cyrl-CS"/>
        </w:rPr>
        <w:t xml:space="preserve"> се из с</w:t>
      </w:r>
      <w:r w:rsidR="00333439">
        <w:rPr>
          <w:rFonts w:ascii="Calibri" w:hAnsi="Calibri" w:cs="Calibri"/>
          <w:szCs w:val="22"/>
          <w:lang w:val="sr-Cyrl-CS"/>
        </w:rPr>
        <w:t>л</w:t>
      </w:r>
      <w:r w:rsidR="00DB04D4" w:rsidRPr="001E262D">
        <w:rPr>
          <w:rFonts w:ascii="Calibri" w:hAnsi="Calibri" w:cs="Calibri"/>
          <w:szCs w:val="22"/>
          <w:lang w:val="sr-Cyrl-CS"/>
        </w:rPr>
        <w:t>едећег:</w:t>
      </w:r>
    </w:p>
    <w:p w:rsidR="00DB04D4" w:rsidRPr="00DB04D4" w:rsidRDefault="00DB04D4" w:rsidP="00DB04D4">
      <w:pPr>
        <w:rPr>
          <w:rFonts w:ascii="Calibri" w:hAnsi="Calibri" w:cs="Calibri"/>
          <w:szCs w:val="22"/>
        </w:rPr>
      </w:pPr>
    </w:p>
    <w:p w:rsidR="00F804E7" w:rsidRDefault="00F804E7" w:rsidP="00F804E7">
      <w:pPr>
        <w:numPr>
          <w:ilvl w:val="0"/>
          <w:numId w:val="26"/>
        </w:numPr>
        <w:rPr>
          <w:rFonts w:ascii="Calibri" w:hAnsi="Calibri" w:cs="Calibri"/>
          <w:szCs w:val="22"/>
          <w:lang w:val="sr-Cyrl-CS"/>
        </w:rPr>
      </w:pPr>
      <w:r>
        <w:rPr>
          <w:rFonts w:ascii="Calibri" w:hAnsi="Calibri" w:cs="Calibri"/>
          <w:szCs w:val="22"/>
          <w:lang w:val="sr-Cyrl-CS"/>
        </w:rPr>
        <w:t>Начело сталности пословања</w:t>
      </w:r>
    </w:p>
    <w:p w:rsidR="00C769A5" w:rsidRDefault="00C769A5" w:rsidP="00F804E7">
      <w:pPr>
        <w:numPr>
          <w:ilvl w:val="0"/>
          <w:numId w:val="26"/>
        </w:numPr>
        <w:rPr>
          <w:rFonts w:ascii="Calibri" w:hAnsi="Calibri" w:cs="Calibri"/>
          <w:szCs w:val="22"/>
          <w:lang w:val="sr-Cyrl-CS"/>
        </w:rPr>
      </w:pPr>
      <w:r>
        <w:rPr>
          <w:rFonts w:ascii="Calibri" w:hAnsi="Calibri" w:cs="Calibri"/>
          <w:szCs w:val="22"/>
          <w:lang w:val="sr-Cyrl-CS"/>
        </w:rPr>
        <w:t>Исправка вриједности потраживања</w:t>
      </w:r>
    </w:p>
    <w:p w:rsidR="00D12B06" w:rsidRDefault="00D12B06" w:rsidP="00DB04D4">
      <w:pPr>
        <w:jc w:val="both"/>
        <w:rPr>
          <w:rFonts w:ascii="Calibri" w:hAnsi="Calibri" w:cs="Calibri"/>
          <w:szCs w:val="22"/>
          <w:lang w:val="sr-Cyrl-CS"/>
        </w:rPr>
      </w:pPr>
    </w:p>
    <w:p w:rsidR="00DB04D4" w:rsidRPr="001E262D" w:rsidRDefault="00DB04D4" w:rsidP="00DB04D4">
      <w:pPr>
        <w:jc w:val="both"/>
        <w:rPr>
          <w:rFonts w:ascii="Calibri" w:hAnsi="Calibri" w:cs="Calibri"/>
          <w:szCs w:val="22"/>
          <w:lang w:val="sr-Cyrl-CS"/>
        </w:rPr>
      </w:pPr>
      <w:r w:rsidRPr="001E262D">
        <w:rPr>
          <w:rFonts w:ascii="Calibri" w:hAnsi="Calibri" w:cs="Calibri"/>
          <w:szCs w:val="22"/>
          <w:lang w:val="sr-Cyrl-CS"/>
        </w:rPr>
        <w:t xml:space="preserve">Управа </w:t>
      </w:r>
      <w:r w:rsidR="00470150">
        <w:rPr>
          <w:rFonts w:ascii="Calibri" w:hAnsi="Calibri" w:cs="Calibri"/>
          <w:szCs w:val="22"/>
          <w:lang w:val="sr-Cyrl-CS"/>
        </w:rPr>
        <w:t>П</w:t>
      </w:r>
      <w:r w:rsidRPr="001E262D">
        <w:rPr>
          <w:rFonts w:ascii="Calibri" w:hAnsi="Calibri" w:cs="Calibri"/>
          <w:szCs w:val="22"/>
          <w:lang w:val="sr-Cyrl-CS"/>
        </w:rPr>
        <w:t xml:space="preserve">редузећа ће поступати у складу са Акционим планом на отклањању уочених недостатака утвђених у Извјештају од стране Независног ревизора </w:t>
      </w:r>
      <w:r w:rsidR="000C0244">
        <w:rPr>
          <w:rFonts w:ascii="Calibri" w:hAnsi="Calibri" w:cs="Calibri"/>
          <w:szCs w:val="22"/>
          <w:lang w:val="sr-Latn-CS"/>
        </w:rPr>
        <w:t xml:space="preserve">Grant Thornton </w:t>
      </w:r>
      <w:r w:rsidR="000C0244">
        <w:rPr>
          <w:rFonts w:ascii="Calibri" w:hAnsi="Calibri" w:cs="Calibri"/>
          <w:szCs w:val="22"/>
          <w:lang w:val="sr-Cyrl-BA"/>
        </w:rPr>
        <w:t>д.о.о. Бања Лука</w:t>
      </w:r>
      <w:r w:rsidR="000C0244" w:rsidRPr="001E262D">
        <w:rPr>
          <w:rFonts w:ascii="Calibri" w:hAnsi="Calibri" w:cs="Calibri"/>
          <w:szCs w:val="22"/>
          <w:lang w:val="sr-Cyrl-CS"/>
        </w:rPr>
        <w:t xml:space="preserve"> </w:t>
      </w:r>
      <w:r w:rsidR="00721A72">
        <w:rPr>
          <w:rFonts w:ascii="Calibri" w:hAnsi="Calibri" w:cs="Calibri"/>
          <w:szCs w:val="22"/>
          <w:lang w:val="sr-Cyrl-CS"/>
        </w:rPr>
        <w:t>за 20</w:t>
      </w:r>
      <w:r w:rsidR="006C3842">
        <w:rPr>
          <w:rFonts w:ascii="Calibri" w:hAnsi="Calibri" w:cs="Calibri"/>
          <w:szCs w:val="22"/>
          <w:lang w:val="sr-Cyrl-CS"/>
        </w:rPr>
        <w:t>2</w:t>
      </w:r>
      <w:r w:rsidR="00C769A5">
        <w:rPr>
          <w:rFonts w:ascii="Calibri" w:hAnsi="Calibri" w:cs="Calibri"/>
          <w:szCs w:val="22"/>
          <w:lang w:val="sr-Cyrl-CS"/>
        </w:rPr>
        <w:t>3</w:t>
      </w:r>
      <w:r w:rsidRPr="001E262D">
        <w:rPr>
          <w:rFonts w:ascii="Calibri" w:hAnsi="Calibri" w:cs="Calibri"/>
          <w:szCs w:val="22"/>
          <w:lang w:val="sr-Cyrl-CS"/>
        </w:rPr>
        <w:t>.</w:t>
      </w:r>
      <w:r>
        <w:rPr>
          <w:rFonts w:ascii="Calibri" w:hAnsi="Calibri" w:cs="Calibri"/>
          <w:szCs w:val="22"/>
          <w:lang w:val="sr-Cyrl-CS"/>
        </w:rPr>
        <w:t xml:space="preserve"> </w:t>
      </w:r>
      <w:r w:rsidRPr="001E262D">
        <w:rPr>
          <w:rFonts w:ascii="Calibri" w:hAnsi="Calibri" w:cs="Calibri"/>
          <w:szCs w:val="22"/>
          <w:lang w:val="sr-Cyrl-CS"/>
        </w:rPr>
        <w:t>годину.</w:t>
      </w:r>
    </w:p>
    <w:p w:rsidR="00DB04D4" w:rsidRPr="001E262D" w:rsidRDefault="00DB04D4" w:rsidP="00DB04D4">
      <w:pPr>
        <w:jc w:val="both"/>
        <w:rPr>
          <w:rFonts w:ascii="Calibri" w:hAnsi="Calibri" w:cs="Calibri"/>
          <w:szCs w:val="22"/>
          <w:lang w:val="sr-Cyrl-CS"/>
        </w:rPr>
      </w:pPr>
    </w:p>
    <w:p w:rsidR="00DB04D4" w:rsidRPr="001E262D" w:rsidRDefault="00DB04D4" w:rsidP="00DB04D4">
      <w:pPr>
        <w:rPr>
          <w:rFonts w:ascii="Calibri" w:hAnsi="Calibri" w:cs="Calibri"/>
          <w:szCs w:val="22"/>
          <w:lang w:val="sr-Cyrl-CS"/>
        </w:rPr>
      </w:pPr>
    </w:p>
    <w:p w:rsidR="00DB04D4" w:rsidRPr="001E262D" w:rsidRDefault="00DB04D4" w:rsidP="00DB04D4">
      <w:pPr>
        <w:rPr>
          <w:rFonts w:ascii="Calibri" w:hAnsi="Calibri" w:cs="Calibri"/>
          <w:szCs w:val="22"/>
          <w:lang w:val="sr-Cyrl-CS"/>
        </w:rPr>
      </w:pPr>
    </w:p>
    <w:p w:rsidR="00AD430F" w:rsidRDefault="00AD430F" w:rsidP="00DB04D4">
      <w:pPr>
        <w:rPr>
          <w:rFonts w:ascii="Calibri" w:hAnsi="Calibri" w:cs="Calibri"/>
          <w:szCs w:val="22"/>
          <w:lang w:val="sr-Cyrl-CS"/>
        </w:rPr>
      </w:pPr>
    </w:p>
    <w:p w:rsidR="00223B66" w:rsidRDefault="00223B66" w:rsidP="00DB04D4">
      <w:pPr>
        <w:rPr>
          <w:rFonts w:ascii="Calibri" w:hAnsi="Calibri" w:cs="Calibri"/>
          <w:szCs w:val="22"/>
          <w:lang w:val="sr-Cyrl-CS"/>
        </w:rPr>
      </w:pPr>
    </w:p>
    <w:p w:rsidR="00AD430F" w:rsidRDefault="00AD430F" w:rsidP="00DB04D4">
      <w:pPr>
        <w:rPr>
          <w:rFonts w:ascii="Calibri" w:hAnsi="Calibri" w:cs="Calibri"/>
          <w:szCs w:val="22"/>
          <w:lang w:val="sr-Cyrl-CS"/>
        </w:rPr>
      </w:pPr>
    </w:p>
    <w:p w:rsidR="00AD430F" w:rsidRDefault="00DB04D4" w:rsidP="00DB04D4">
      <w:pPr>
        <w:rPr>
          <w:rFonts w:ascii="Calibri" w:hAnsi="Calibri" w:cs="Calibri"/>
          <w:szCs w:val="22"/>
          <w:lang w:val="sr-Cyrl-CS"/>
        </w:rPr>
      </w:pPr>
      <w:r>
        <w:rPr>
          <w:rFonts w:ascii="Calibri" w:hAnsi="Calibri" w:cs="Calibri"/>
          <w:szCs w:val="22"/>
          <w:lang w:val="sr-Latn-CS"/>
        </w:rPr>
        <w:t xml:space="preserve"> </w:t>
      </w:r>
    </w:p>
    <w:p w:rsidR="00DB04D4" w:rsidRPr="001E262D" w:rsidRDefault="00AD430F" w:rsidP="00DB04D4">
      <w:pPr>
        <w:rPr>
          <w:rFonts w:ascii="Calibri" w:hAnsi="Calibri" w:cs="Calibri"/>
          <w:szCs w:val="22"/>
          <w:lang w:val="sr-Cyrl-CS"/>
        </w:rPr>
      </w:pPr>
      <w:r>
        <w:rPr>
          <w:rFonts w:ascii="Calibri" w:hAnsi="Calibri" w:cs="Calibri"/>
          <w:szCs w:val="22"/>
          <w:lang w:val="sr-Cyrl-CS"/>
        </w:rPr>
        <w:t xml:space="preserve">                                                                                                                               </w:t>
      </w:r>
      <w:r w:rsidR="00411846">
        <w:rPr>
          <w:rFonts w:ascii="Calibri" w:hAnsi="Calibri" w:cs="Calibri"/>
          <w:szCs w:val="22"/>
          <w:lang w:val="sr-Cyrl-CS"/>
        </w:rPr>
        <w:t xml:space="preserve">   </w:t>
      </w:r>
      <w:r w:rsidR="00223B66">
        <w:rPr>
          <w:rFonts w:ascii="Calibri" w:hAnsi="Calibri" w:cs="Calibri"/>
          <w:szCs w:val="22"/>
          <w:lang w:val="sr-Cyrl-CS"/>
        </w:rPr>
        <w:t xml:space="preserve">     </w:t>
      </w:r>
      <w:r w:rsidR="00DB04D4" w:rsidRPr="001E262D">
        <w:rPr>
          <w:rFonts w:ascii="Calibri" w:hAnsi="Calibri" w:cs="Calibri"/>
          <w:szCs w:val="22"/>
          <w:lang w:val="sr-Cyrl-CS"/>
        </w:rPr>
        <w:t>Д</w:t>
      </w:r>
      <w:r>
        <w:rPr>
          <w:rFonts w:ascii="Calibri" w:hAnsi="Calibri" w:cs="Calibri"/>
          <w:szCs w:val="22"/>
          <w:lang w:val="sr-Cyrl-CS"/>
        </w:rPr>
        <w:t xml:space="preserve"> </w:t>
      </w:r>
      <w:r w:rsidR="00DB04D4" w:rsidRPr="001E262D">
        <w:rPr>
          <w:rFonts w:ascii="Calibri" w:hAnsi="Calibri" w:cs="Calibri"/>
          <w:szCs w:val="22"/>
          <w:lang w:val="sr-Cyrl-CS"/>
        </w:rPr>
        <w:t>И</w:t>
      </w:r>
      <w:r>
        <w:rPr>
          <w:rFonts w:ascii="Calibri" w:hAnsi="Calibri" w:cs="Calibri"/>
          <w:szCs w:val="22"/>
          <w:lang w:val="sr-Cyrl-CS"/>
        </w:rPr>
        <w:t xml:space="preserve"> </w:t>
      </w:r>
      <w:r w:rsidR="00DB04D4" w:rsidRPr="001E262D">
        <w:rPr>
          <w:rFonts w:ascii="Calibri" w:hAnsi="Calibri" w:cs="Calibri"/>
          <w:szCs w:val="22"/>
          <w:lang w:val="sr-Cyrl-CS"/>
        </w:rPr>
        <w:t>Р</w:t>
      </w:r>
      <w:r>
        <w:rPr>
          <w:rFonts w:ascii="Calibri" w:hAnsi="Calibri" w:cs="Calibri"/>
          <w:szCs w:val="22"/>
          <w:lang w:val="sr-Cyrl-CS"/>
        </w:rPr>
        <w:t xml:space="preserve"> </w:t>
      </w:r>
      <w:r w:rsidR="00DB04D4" w:rsidRPr="001E262D">
        <w:rPr>
          <w:rFonts w:ascii="Calibri" w:hAnsi="Calibri" w:cs="Calibri"/>
          <w:szCs w:val="22"/>
          <w:lang w:val="sr-Cyrl-CS"/>
        </w:rPr>
        <w:t>Е</w:t>
      </w:r>
      <w:r>
        <w:rPr>
          <w:rFonts w:ascii="Calibri" w:hAnsi="Calibri" w:cs="Calibri"/>
          <w:szCs w:val="22"/>
          <w:lang w:val="sr-Cyrl-CS"/>
        </w:rPr>
        <w:t xml:space="preserve"> </w:t>
      </w:r>
      <w:r w:rsidR="00DB04D4" w:rsidRPr="001E262D">
        <w:rPr>
          <w:rFonts w:ascii="Calibri" w:hAnsi="Calibri" w:cs="Calibri"/>
          <w:szCs w:val="22"/>
          <w:lang w:val="sr-Cyrl-CS"/>
        </w:rPr>
        <w:t>К</w:t>
      </w:r>
      <w:r>
        <w:rPr>
          <w:rFonts w:ascii="Calibri" w:hAnsi="Calibri" w:cs="Calibri"/>
          <w:szCs w:val="22"/>
          <w:lang w:val="sr-Cyrl-CS"/>
        </w:rPr>
        <w:t xml:space="preserve"> </w:t>
      </w:r>
      <w:r w:rsidR="00DB04D4" w:rsidRPr="001E262D">
        <w:rPr>
          <w:rFonts w:ascii="Calibri" w:hAnsi="Calibri" w:cs="Calibri"/>
          <w:szCs w:val="22"/>
          <w:lang w:val="sr-Cyrl-CS"/>
        </w:rPr>
        <w:t>Т</w:t>
      </w:r>
      <w:r>
        <w:rPr>
          <w:rFonts w:ascii="Calibri" w:hAnsi="Calibri" w:cs="Calibri"/>
          <w:szCs w:val="22"/>
          <w:lang w:val="sr-Cyrl-CS"/>
        </w:rPr>
        <w:t xml:space="preserve"> </w:t>
      </w:r>
      <w:r w:rsidR="00DB04D4" w:rsidRPr="001E262D">
        <w:rPr>
          <w:rFonts w:ascii="Calibri" w:hAnsi="Calibri" w:cs="Calibri"/>
          <w:szCs w:val="22"/>
          <w:lang w:val="sr-Cyrl-CS"/>
        </w:rPr>
        <w:t>О</w:t>
      </w:r>
      <w:r>
        <w:rPr>
          <w:rFonts w:ascii="Calibri" w:hAnsi="Calibri" w:cs="Calibri"/>
          <w:szCs w:val="22"/>
          <w:lang w:val="sr-Cyrl-CS"/>
        </w:rPr>
        <w:t xml:space="preserve"> </w:t>
      </w:r>
      <w:r w:rsidR="00DB04D4" w:rsidRPr="001E262D">
        <w:rPr>
          <w:rFonts w:ascii="Calibri" w:hAnsi="Calibri" w:cs="Calibri"/>
          <w:szCs w:val="22"/>
          <w:lang w:val="sr-Cyrl-CS"/>
        </w:rPr>
        <w:t>Р</w:t>
      </w:r>
    </w:p>
    <w:p w:rsidR="00DB04D4" w:rsidRPr="001E262D" w:rsidRDefault="00DB04D4" w:rsidP="00DB04D4">
      <w:pPr>
        <w:rPr>
          <w:rFonts w:ascii="Calibri" w:hAnsi="Calibri" w:cs="Calibri"/>
          <w:szCs w:val="22"/>
          <w:lang w:val="sr-Cyrl-CS"/>
        </w:rPr>
      </w:pPr>
    </w:p>
    <w:p w:rsidR="00DB04D4" w:rsidRDefault="00DB04D4" w:rsidP="00DB04D4">
      <w:pPr>
        <w:rPr>
          <w:rFonts w:ascii="Calibri" w:hAnsi="Calibri" w:cs="Calibri"/>
          <w:szCs w:val="22"/>
        </w:rPr>
      </w:pPr>
      <w:r w:rsidRPr="001E262D">
        <w:rPr>
          <w:rFonts w:ascii="Calibri" w:hAnsi="Calibri" w:cs="Calibri"/>
          <w:szCs w:val="22"/>
          <w:lang w:val="sr-Cyrl-CS"/>
        </w:rPr>
        <w:t xml:space="preserve">     </w:t>
      </w:r>
      <w:r>
        <w:rPr>
          <w:rFonts w:ascii="Calibri" w:hAnsi="Calibri" w:cs="Calibri"/>
          <w:szCs w:val="22"/>
          <w:lang w:val="sr-Latn-CS"/>
        </w:rPr>
        <w:t xml:space="preserve">                                                                                                 </w:t>
      </w:r>
      <w:r w:rsidR="00AD430F">
        <w:rPr>
          <w:rFonts w:ascii="Calibri" w:hAnsi="Calibri" w:cs="Calibri"/>
          <w:szCs w:val="22"/>
          <w:lang w:val="sr-Cyrl-CS"/>
        </w:rPr>
        <w:t xml:space="preserve">         </w:t>
      </w:r>
      <w:r w:rsidR="009F01ED">
        <w:rPr>
          <w:rFonts w:ascii="Calibri" w:hAnsi="Calibri" w:cs="Calibri"/>
          <w:szCs w:val="22"/>
          <w:lang w:val="sr-Cyrl-CS"/>
        </w:rPr>
        <w:t xml:space="preserve">        </w:t>
      </w:r>
      <w:r>
        <w:rPr>
          <w:rFonts w:ascii="Calibri" w:hAnsi="Calibri" w:cs="Calibri"/>
          <w:szCs w:val="22"/>
          <w:lang w:val="sr-Latn-CS"/>
        </w:rPr>
        <w:t xml:space="preserve">   </w:t>
      </w:r>
      <w:r w:rsidR="00223B66">
        <w:rPr>
          <w:rFonts w:ascii="Calibri" w:hAnsi="Calibri" w:cs="Calibri"/>
          <w:szCs w:val="22"/>
          <w:lang w:val="sr-Cyrl-CS"/>
        </w:rPr>
        <w:t>Драган Ћућило дипл.инг.ел.</w:t>
      </w:r>
    </w:p>
    <w:p w:rsidR="00A7666B" w:rsidRDefault="00A7666B" w:rsidP="00DB04D4">
      <w:pPr>
        <w:rPr>
          <w:rFonts w:ascii="Calibri" w:hAnsi="Calibri" w:cs="Calibri"/>
          <w:szCs w:val="22"/>
        </w:rPr>
      </w:pPr>
    </w:p>
    <w:p w:rsidR="00A7666B" w:rsidRDefault="00A7666B" w:rsidP="00DB04D4">
      <w:pPr>
        <w:rPr>
          <w:rFonts w:ascii="Calibri" w:hAnsi="Calibri" w:cs="Calibri"/>
          <w:szCs w:val="22"/>
        </w:rPr>
      </w:pPr>
    </w:p>
    <w:p w:rsidR="00A7666B" w:rsidRDefault="00A7666B" w:rsidP="00DB04D4">
      <w:pPr>
        <w:rPr>
          <w:rFonts w:ascii="Calibri" w:hAnsi="Calibri" w:cs="Calibri"/>
          <w:szCs w:val="22"/>
        </w:rPr>
      </w:pPr>
    </w:p>
    <w:p w:rsidR="00A7666B" w:rsidRDefault="00A7666B" w:rsidP="00DB04D4">
      <w:pPr>
        <w:rPr>
          <w:rFonts w:ascii="Calibri" w:hAnsi="Calibri" w:cs="Calibri"/>
          <w:szCs w:val="22"/>
        </w:rPr>
      </w:pPr>
    </w:p>
    <w:p w:rsidR="00A7666B" w:rsidRDefault="00A7666B" w:rsidP="00DB04D4">
      <w:pPr>
        <w:rPr>
          <w:rFonts w:ascii="Calibri" w:hAnsi="Calibri" w:cs="Calibri"/>
          <w:szCs w:val="22"/>
        </w:rPr>
      </w:pPr>
    </w:p>
    <w:p w:rsidR="00A7666B" w:rsidRDefault="00A7666B" w:rsidP="00DB04D4">
      <w:pPr>
        <w:rPr>
          <w:rFonts w:ascii="Calibri" w:hAnsi="Calibri" w:cs="Calibri"/>
          <w:szCs w:val="22"/>
        </w:rPr>
      </w:pPr>
    </w:p>
    <w:p w:rsidR="00A7666B" w:rsidRDefault="00A7666B" w:rsidP="00DB04D4">
      <w:pPr>
        <w:rPr>
          <w:rFonts w:ascii="Calibri" w:hAnsi="Calibri" w:cs="Calibri"/>
          <w:szCs w:val="22"/>
        </w:rPr>
      </w:pPr>
    </w:p>
    <w:p w:rsidR="0059315F" w:rsidRDefault="0059315F" w:rsidP="00DB04D4">
      <w:pPr>
        <w:rPr>
          <w:rFonts w:ascii="Calibri" w:hAnsi="Calibri" w:cs="Calibri"/>
          <w:szCs w:val="22"/>
        </w:rPr>
      </w:pPr>
    </w:p>
    <w:p w:rsidR="0059315F" w:rsidRDefault="0059315F" w:rsidP="00DB04D4">
      <w:pPr>
        <w:rPr>
          <w:rFonts w:ascii="Calibri" w:hAnsi="Calibri" w:cs="Calibri"/>
          <w:szCs w:val="22"/>
        </w:rPr>
      </w:pPr>
    </w:p>
    <w:p w:rsidR="0059315F" w:rsidRDefault="0059315F" w:rsidP="00DB04D4">
      <w:pPr>
        <w:rPr>
          <w:rFonts w:ascii="Calibri" w:hAnsi="Calibri" w:cs="Calibri"/>
          <w:szCs w:val="22"/>
        </w:rPr>
      </w:pPr>
    </w:p>
    <w:p w:rsidR="0059315F" w:rsidRDefault="0059315F" w:rsidP="00DB04D4">
      <w:pPr>
        <w:rPr>
          <w:rFonts w:ascii="Calibri" w:hAnsi="Calibri" w:cs="Calibri"/>
          <w:szCs w:val="22"/>
        </w:rPr>
      </w:pPr>
    </w:p>
    <w:p w:rsidR="0059315F" w:rsidRDefault="0059315F" w:rsidP="00DB04D4">
      <w:pPr>
        <w:rPr>
          <w:rFonts w:ascii="Calibri" w:hAnsi="Calibri" w:cs="Calibri"/>
          <w:szCs w:val="22"/>
        </w:rPr>
      </w:pPr>
    </w:p>
    <w:p w:rsidR="00A7666B" w:rsidRDefault="00A7666B" w:rsidP="00DB04D4">
      <w:pPr>
        <w:rPr>
          <w:rFonts w:ascii="Calibri" w:hAnsi="Calibri" w:cs="Calibri"/>
          <w:szCs w:val="22"/>
        </w:rPr>
      </w:pPr>
    </w:p>
    <w:p w:rsidR="00A7666B" w:rsidRDefault="00A7666B" w:rsidP="00DB04D4">
      <w:pPr>
        <w:rPr>
          <w:rFonts w:ascii="Calibri" w:hAnsi="Calibri" w:cs="Calibri"/>
          <w:szCs w:val="22"/>
        </w:rPr>
      </w:pPr>
    </w:p>
    <w:p w:rsidR="00A7666B" w:rsidRDefault="00A7666B" w:rsidP="00DB04D4">
      <w:pPr>
        <w:rPr>
          <w:rFonts w:ascii="Calibri" w:hAnsi="Calibri" w:cs="Calibri"/>
          <w:szCs w:val="22"/>
        </w:rPr>
      </w:pPr>
    </w:p>
    <w:p w:rsidR="00A7666B" w:rsidRDefault="00A7666B" w:rsidP="00DB04D4">
      <w:pPr>
        <w:rPr>
          <w:rFonts w:ascii="Calibri" w:hAnsi="Calibri" w:cs="Calibri"/>
          <w:szCs w:val="22"/>
        </w:rPr>
      </w:pPr>
    </w:p>
    <w:p w:rsidR="000E1F03" w:rsidRDefault="000E1F03" w:rsidP="00DB04D4">
      <w:pPr>
        <w:rPr>
          <w:rFonts w:ascii="Calibri" w:hAnsi="Calibri" w:cs="Calibri"/>
          <w:szCs w:val="22"/>
        </w:rPr>
      </w:pPr>
    </w:p>
    <w:p w:rsidR="000E1F03" w:rsidRDefault="000E1F03" w:rsidP="00DB04D4">
      <w:pPr>
        <w:rPr>
          <w:rFonts w:ascii="Calibri" w:hAnsi="Calibri" w:cs="Calibri"/>
          <w:szCs w:val="22"/>
        </w:rPr>
      </w:pPr>
    </w:p>
    <w:p w:rsidR="00CC2470" w:rsidRDefault="00CC2470" w:rsidP="00DB04D4">
      <w:pPr>
        <w:rPr>
          <w:rFonts w:ascii="Calibri" w:hAnsi="Calibri" w:cs="Calibri"/>
          <w:szCs w:val="22"/>
        </w:rPr>
      </w:pPr>
    </w:p>
    <w:p w:rsidR="00CC2470" w:rsidRDefault="00CC2470" w:rsidP="00DB04D4">
      <w:pPr>
        <w:rPr>
          <w:rFonts w:ascii="Calibri" w:hAnsi="Calibri" w:cs="Calibri"/>
          <w:szCs w:val="22"/>
        </w:rPr>
      </w:pPr>
    </w:p>
    <w:p w:rsidR="000E1F03" w:rsidRDefault="000E1F03" w:rsidP="00DB04D4">
      <w:pPr>
        <w:rPr>
          <w:rFonts w:ascii="Calibri" w:hAnsi="Calibri" w:cs="Calibri"/>
          <w:szCs w:val="22"/>
        </w:rPr>
      </w:pPr>
    </w:p>
    <w:p w:rsidR="00A7666B" w:rsidRDefault="00A7666B" w:rsidP="00DB04D4">
      <w:pPr>
        <w:rPr>
          <w:rFonts w:ascii="Calibri" w:hAnsi="Calibri" w:cs="Calibri"/>
          <w:szCs w:val="22"/>
        </w:rPr>
      </w:pPr>
    </w:p>
    <w:p w:rsidR="00936F15" w:rsidRDefault="00936F15" w:rsidP="00936F15">
      <w:pPr>
        <w:rPr>
          <w:rFonts w:ascii="Calibri" w:hAnsi="Calibri"/>
          <w:sz w:val="22"/>
          <w:szCs w:val="22"/>
        </w:rPr>
      </w:pPr>
    </w:p>
    <w:p w:rsidR="0000355B" w:rsidRDefault="0000355B" w:rsidP="00DB04D4">
      <w:pPr>
        <w:widowControl w:val="0"/>
        <w:spacing w:after="240"/>
        <w:jc w:val="center"/>
        <w:rPr>
          <w:rFonts w:ascii="Calibri" w:hAnsi="Calibri"/>
          <w:b/>
          <w:i/>
          <w:color w:val="000080"/>
          <w:sz w:val="44"/>
          <w:szCs w:val="44"/>
          <w:lang w:val="bs-Latn-BA"/>
        </w:rPr>
      </w:pPr>
    </w:p>
    <w:p w:rsidR="00FF4261" w:rsidRPr="00FF4261" w:rsidRDefault="00FF4261" w:rsidP="00DB04D4">
      <w:pPr>
        <w:widowControl w:val="0"/>
        <w:spacing w:after="240"/>
        <w:jc w:val="center"/>
        <w:rPr>
          <w:rFonts w:ascii="Calibri" w:hAnsi="Calibri"/>
          <w:b/>
          <w:i/>
          <w:color w:val="000080"/>
          <w:sz w:val="44"/>
          <w:szCs w:val="44"/>
          <w:lang w:val="bs-Latn-BA"/>
        </w:rPr>
      </w:pPr>
    </w:p>
    <w:p w:rsidR="00DB04D4" w:rsidRPr="00C64AC7" w:rsidRDefault="00DB04D4" w:rsidP="00DB04D4">
      <w:pPr>
        <w:widowControl w:val="0"/>
        <w:spacing w:after="240"/>
        <w:jc w:val="center"/>
        <w:rPr>
          <w:rFonts w:ascii="Calibri" w:hAnsi="Calibri"/>
          <w:b/>
          <w:i/>
          <w:color w:val="000080"/>
          <w:sz w:val="44"/>
          <w:szCs w:val="44"/>
          <w:lang w:val="sr-Cyrl-BA"/>
        </w:rPr>
      </w:pPr>
      <w:r w:rsidRPr="00C64AC7">
        <w:rPr>
          <w:rFonts w:ascii="Calibri" w:hAnsi="Calibri"/>
          <w:b/>
          <w:i/>
          <w:color w:val="000080"/>
          <w:sz w:val="44"/>
          <w:szCs w:val="44"/>
          <w:lang w:val="sr-Cyrl-BA"/>
        </w:rPr>
        <w:t>Акциони план</w:t>
      </w:r>
    </w:p>
    <w:p w:rsidR="00223B66" w:rsidRDefault="00DB04D4" w:rsidP="00BD0EFC">
      <w:pPr>
        <w:widowControl w:val="0"/>
        <w:jc w:val="center"/>
        <w:rPr>
          <w:rFonts w:ascii="Calibri" w:hAnsi="Calibri"/>
          <w:b/>
          <w:i/>
          <w:color w:val="000080"/>
          <w:sz w:val="36"/>
          <w:szCs w:val="36"/>
          <w:lang w:val="sr-Cyrl-BA"/>
        </w:rPr>
      </w:pPr>
      <w:r w:rsidRPr="00C64AC7">
        <w:rPr>
          <w:rFonts w:ascii="Calibri" w:hAnsi="Calibri"/>
          <w:b/>
          <w:i/>
          <w:color w:val="000080"/>
          <w:sz w:val="36"/>
          <w:szCs w:val="36"/>
          <w:lang w:val="sr-Cyrl-BA"/>
        </w:rPr>
        <w:t xml:space="preserve">за отклањање утврђених недостатака у ревизорском извјештају </w:t>
      </w:r>
      <w:r w:rsidR="00D77BA4">
        <w:rPr>
          <w:rFonts w:ascii="Calibri" w:hAnsi="Calibri"/>
          <w:b/>
          <w:i/>
          <w:color w:val="000080"/>
          <w:sz w:val="36"/>
          <w:szCs w:val="36"/>
          <w:lang w:val="sr-Latn-CS"/>
        </w:rPr>
        <w:t xml:space="preserve">Grant Thornton </w:t>
      </w:r>
      <w:r w:rsidR="00D77BA4">
        <w:rPr>
          <w:rFonts w:ascii="Calibri" w:hAnsi="Calibri"/>
          <w:b/>
          <w:i/>
          <w:color w:val="000080"/>
          <w:sz w:val="36"/>
          <w:szCs w:val="36"/>
          <w:lang w:val="sr-Cyrl-BA"/>
        </w:rPr>
        <w:t>д.о.о Бања Лука</w:t>
      </w:r>
      <w:r w:rsidRPr="00C64AC7">
        <w:rPr>
          <w:rFonts w:ascii="Calibri" w:hAnsi="Calibri"/>
          <w:b/>
          <w:i/>
          <w:color w:val="000080"/>
          <w:sz w:val="36"/>
          <w:szCs w:val="36"/>
          <w:lang w:val="sr-Latn-BA"/>
        </w:rPr>
        <w:t xml:space="preserve"> </w:t>
      </w:r>
      <w:r w:rsidRPr="00C64AC7">
        <w:rPr>
          <w:rFonts w:ascii="Calibri" w:hAnsi="Calibri"/>
          <w:b/>
          <w:i/>
          <w:color w:val="000080"/>
          <w:sz w:val="36"/>
          <w:szCs w:val="36"/>
          <w:lang w:val="sr-Cyrl-BA"/>
        </w:rPr>
        <w:t>за 20</w:t>
      </w:r>
      <w:r w:rsidR="00653A20">
        <w:rPr>
          <w:rFonts w:ascii="Calibri" w:hAnsi="Calibri"/>
          <w:b/>
          <w:i/>
          <w:color w:val="000080"/>
          <w:sz w:val="36"/>
          <w:szCs w:val="36"/>
        </w:rPr>
        <w:t>2</w:t>
      </w:r>
      <w:r w:rsidR="00C769A5">
        <w:rPr>
          <w:rFonts w:ascii="Calibri" w:hAnsi="Calibri"/>
          <w:b/>
          <w:i/>
          <w:color w:val="000080"/>
          <w:sz w:val="36"/>
          <w:szCs w:val="36"/>
        </w:rPr>
        <w:t>3</w:t>
      </w:r>
      <w:r w:rsidRPr="00C64AC7">
        <w:rPr>
          <w:rFonts w:ascii="Calibri" w:hAnsi="Calibri"/>
          <w:b/>
          <w:i/>
          <w:color w:val="000080"/>
          <w:sz w:val="36"/>
          <w:szCs w:val="36"/>
          <w:lang w:val="sr-Cyrl-BA"/>
        </w:rPr>
        <w:t>.</w:t>
      </w:r>
      <w:r w:rsidR="00C769A5">
        <w:rPr>
          <w:rFonts w:ascii="Calibri" w:hAnsi="Calibri"/>
          <w:b/>
          <w:i/>
          <w:color w:val="000080"/>
          <w:sz w:val="36"/>
          <w:szCs w:val="36"/>
          <w:lang w:val="sr-Cyrl-BA"/>
        </w:rPr>
        <w:t xml:space="preserve"> </w:t>
      </w:r>
      <w:r w:rsidRPr="00C64AC7">
        <w:rPr>
          <w:rFonts w:ascii="Calibri" w:hAnsi="Calibri"/>
          <w:b/>
          <w:i/>
          <w:color w:val="000080"/>
          <w:sz w:val="36"/>
          <w:szCs w:val="36"/>
          <w:lang w:val="sr-Cyrl-BA"/>
        </w:rPr>
        <w:t>г</w:t>
      </w:r>
      <w:r w:rsidRPr="00C64AC7">
        <w:rPr>
          <w:rFonts w:ascii="Calibri" w:hAnsi="Calibri"/>
          <w:b/>
          <w:i/>
          <w:color w:val="000080"/>
          <w:sz w:val="36"/>
          <w:szCs w:val="36"/>
          <w:lang w:val="sr-Cyrl-CS"/>
        </w:rPr>
        <w:t>одину</w:t>
      </w:r>
      <w:r w:rsidRPr="00C64AC7">
        <w:rPr>
          <w:rFonts w:ascii="Calibri" w:hAnsi="Calibri"/>
          <w:b/>
          <w:i/>
          <w:color w:val="000080"/>
          <w:sz w:val="36"/>
          <w:szCs w:val="36"/>
          <w:lang w:val="sr-Cyrl-BA"/>
        </w:rPr>
        <w:t xml:space="preserve"> и прихватање препорука датих у писму руководству </w:t>
      </w:r>
    </w:p>
    <w:p w:rsidR="00DB04D4" w:rsidRPr="00C64AC7" w:rsidRDefault="00223B66" w:rsidP="00BD0EFC">
      <w:pPr>
        <w:widowControl w:val="0"/>
        <w:jc w:val="center"/>
        <w:rPr>
          <w:rFonts w:ascii="Calibri" w:hAnsi="Calibri"/>
          <w:b/>
          <w:i/>
          <w:color w:val="000080"/>
          <w:sz w:val="36"/>
          <w:szCs w:val="36"/>
          <w:lang w:val="sr-Cyrl-BA"/>
        </w:rPr>
      </w:pPr>
      <w:r>
        <w:rPr>
          <w:rFonts w:ascii="Calibri" w:hAnsi="Calibri"/>
          <w:b/>
          <w:i/>
          <w:color w:val="000080"/>
          <w:sz w:val="36"/>
          <w:szCs w:val="36"/>
          <w:lang w:val="sr-Cyrl-BA"/>
        </w:rPr>
        <w:t>ОИЕ БИМ д.о.о.</w:t>
      </w:r>
      <w:r w:rsidR="00DB04D4" w:rsidRPr="00C64AC7">
        <w:rPr>
          <w:rFonts w:ascii="Calibri" w:hAnsi="Calibri"/>
          <w:b/>
          <w:i/>
          <w:color w:val="000080"/>
          <w:sz w:val="36"/>
          <w:szCs w:val="36"/>
          <w:lang w:val="sr-Cyrl-BA"/>
        </w:rPr>
        <w:t xml:space="preserve"> </w:t>
      </w:r>
      <w:r w:rsidR="005612BA">
        <w:rPr>
          <w:rFonts w:ascii="Calibri" w:hAnsi="Calibri"/>
          <w:b/>
          <w:i/>
          <w:color w:val="000080"/>
          <w:sz w:val="36"/>
          <w:szCs w:val="36"/>
          <w:lang w:val="sr-Cyrl-BA"/>
        </w:rPr>
        <w:t>П</w:t>
      </w:r>
      <w:r w:rsidR="00DB04D4" w:rsidRPr="00C64AC7">
        <w:rPr>
          <w:rFonts w:ascii="Calibri" w:hAnsi="Calibri"/>
          <w:b/>
          <w:i/>
          <w:color w:val="000080"/>
          <w:sz w:val="36"/>
          <w:szCs w:val="36"/>
          <w:lang w:val="sr-Cyrl-BA"/>
        </w:rPr>
        <w:t>а</w:t>
      </w:r>
      <w:r w:rsidR="005612BA">
        <w:rPr>
          <w:rFonts w:ascii="Calibri" w:hAnsi="Calibri"/>
          <w:b/>
          <w:i/>
          <w:color w:val="000080"/>
          <w:sz w:val="36"/>
          <w:szCs w:val="36"/>
          <w:lang w:val="sr-Cyrl-BA"/>
        </w:rPr>
        <w:t>ле</w:t>
      </w:r>
    </w:p>
    <w:p w:rsidR="00936F15" w:rsidRPr="00525F5F" w:rsidRDefault="00936F15" w:rsidP="00936F15">
      <w:pPr>
        <w:widowControl w:val="0"/>
        <w:tabs>
          <w:tab w:val="left" w:pos="4320"/>
        </w:tabs>
        <w:ind w:left="5184"/>
        <w:rPr>
          <w:rFonts w:ascii="Calibri" w:hAnsi="Calibri"/>
          <w:color w:val="000080"/>
          <w:lang w:val="sr-Cyrl-CS"/>
        </w:rPr>
      </w:pPr>
    </w:p>
    <w:p w:rsidR="00936F15" w:rsidRPr="00525F5F" w:rsidRDefault="00936F15" w:rsidP="00936F15">
      <w:pPr>
        <w:pStyle w:val="BodyText2"/>
        <w:widowControl w:val="0"/>
        <w:spacing w:after="240"/>
        <w:jc w:val="center"/>
        <w:rPr>
          <w:rFonts w:ascii="Calibri" w:hAnsi="Calibri"/>
          <w:color w:val="000080"/>
          <w:lang w:val="sr-Cyrl-BA"/>
        </w:rPr>
      </w:pPr>
      <w:r w:rsidRPr="00525F5F">
        <w:rPr>
          <w:rFonts w:ascii="Calibri" w:hAnsi="Calibri"/>
          <w:color w:val="000080"/>
          <w:lang w:val="sr-Cyrl-BA"/>
        </w:rPr>
        <w:tab/>
      </w:r>
      <w:r w:rsidRPr="00525F5F">
        <w:rPr>
          <w:rFonts w:ascii="Calibri" w:hAnsi="Calibri"/>
          <w:color w:val="000080"/>
          <w:lang w:val="sr-Cyrl-BA"/>
        </w:rPr>
        <w:tab/>
      </w:r>
      <w:r w:rsidRPr="00525F5F">
        <w:rPr>
          <w:rFonts w:ascii="Calibri" w:hAnsi="Calibri"/>
          <w:color w:val="000080"/>
          <w:lang w:val="sr-Cyrl-BA"/>
        </w:rPr>
        <w:tab/>
      </w:r>
    </w:p>
    <w:p w:rsidR="00936F15" w:rsidRPr="00525F5F" w:rsidRDefault="00936F15" w:rsidP="00936F15">
      <w:pPr>
        <w:pStyle w:val="BodyText2"/>
        <w:widowControl w:val="0"/>
        <w:rPr>
          <w:rFonts w:ascii="Calibri" w:hAnsi="Calibri"/>
          <w:color w:val="000080"/>
          <w:lang w:val="sr-Cyrl-CS"/>
        </w:rPr>
      </w:pPr>
    </w:p>
    <w:p w:rsidR="00936F15" w:rsidRPr="00525F5F" w:rsidRDefault="00936F15" w:rsidP="00936F15">
      <w:pPr>
        <w:pStyle w:val="BodyText2"/>
        <w:widowControl w:val="0"/>
        <w:rPr>
          <w:rFonts w:ascii="Calibri" w:hAnsi="Calibri"/>
          <w:color w:val="000080"/>
          <w:lang w:val="sr-Cyrl-CS"/>
        </w:rPr>
      </w:pPr>
    </w:p>
    <w:p w:rsidR="00936F15" w:rsidRPr="00525F5F" w:rsidRDefault="00936F15" w:rsidP="00936F15">
      <w:pPr>
        <w:pStyle w:val="BodyText2"/>
        <w:widowControl w:val="0"/>
        <w:rPr>
          <w:rFonts w:ascii="Calibri" w:hAnsi="Calibri"/>
          <w:color w:val="000080"/>
          <w:lang w:val="sr-Cyrl-CS"/>
        </w:rPr>
      </w:pPr>
      <w:bookmarkStart w:id="0" w:name="_GoBack"/>
      <w:bookmarkEnd w:id="0"/>
    </w:p>
    <w:p w:rsidR="00936F15" w:rsidRPr="00525F5F" w:rsidRDefault="00936F15" w:rsidP="00936F15">
      <w:pPr>
        <w:pStyle w:val="BodyText2"/>
        <w:widowControl w:val="0"/>
        <w:rPr>
          <w:rFonts w:ascii="Calibri" w:hAnsi="Calibri"/>
          <w:color w:val="000080"/>
          <w:lang w:val="sr-Cyrl-CS"/>
        </w:rPr>
      </w:pPr>
    </w:p>
    <w:p w:rsidR="00936F15" w:rsidRPr="00525F5F" w:rsidRDefault="00936F15" w:rsidP="00936F15">
      <w:pPr>
        <w:pStyle w:val="BodyText2"/>
        <w:widowControl w:val="0"/>
        <w:jc w:val="center"/>
        <w:rPr>
          <w:rFonts w:ascii="Calibri" w:hAnsi="Calibri"/>
          <w:color w:val="000080"/>
          <w:lang w:val="sr-Cyrl-CS"/>
        </w:rPr>
      </w:pPr>
    </w:p>
    <w:p w:rsidR="00936F15" w:rsidRDefault="00936F15" w:rsidP="00936F15">
      <w:pPr>
        <w:pStyle w:val="BodyText2"/>
        <w:widowControl w:val="0"/>
        <w:rPr>
          <w:rFonts w:ascii="Calibri" w:hAnsi="Calibri"/>
          <w:color w:val="000080"/>
          <w:lang w:val="sr-Cyrl-CS"/>
        </w:rPr>
      </w:pPr>
    </w:p>
    <w:p w:rsidR="00936F15" w:rsidRPr="00525F5F" w:rsidRDefault="00936F15" w:rsidP="00936F15">
      <w:pPr>
        <w:pStyle w:val="BodyText2"/>
        <w:widowControl w:val="0"/>
        <w:rPr>
          <w:rFonts w:ascii="Calibri" w:hAnsi="Calibri"/>
          <w:color w:val="000080"/>
          <w:lang w:val="sr-Cyrl-BA"/>
        </w:rPr>
      </w:pPr>
    </w:p>
    <w:p w:rsidR="00936F15" w:rsidRDefault="00E0737A" w:rsidP="00936F15">
      <w:pPr>
        <w:jc w:val="center"/>
        <w:rPr>
          <w:rFonts w:ascii="Calibri" w:hAnsi="Calibri"/>
          <w:sz w:val="22"/>
          <w:szCs w:val="22"/>
        </w:rPr>
      </w:pPr>
      <w:r>
        <w:rPr>
          <w:color w:val="000080"/>
          <w:lang w:val="sr-Cyrl-BA"/>
        </w:rPr>
        <w:t xml:space="preserve">     </w:t>
      </w:r>
      <w:r w:rsidR="00C769A5">
        <w:rPr>
          <w:color w:val="000080"/>
          <w:lang w:val="sr-Cyrl-BA"/>
        </w:rPr>
        <w:t>Јули</w:t>
      </w:r>
      <w:r w:rsidR="00802001">
        <w:rPr>
          <w:color w:val="000080"/>
          <w:lang w:val="sr-Cyrl-BA"/>
        </w:rPr>
        <w:t xml:space="preserve"> </w:t>
      </w:r>
      <w:r w:rsidR="00462F88">
        <w:rPr>
          <w:color w:val="000080"/>
        </w:rPr>
        <w:t>20</w:t>
      </w:r>
      <w:r w:rsidR="00462F88">
        <w:rPr>
          <w:color w:val="000080"/>
          <w:lang w:val="sr-Cyrl-BA"/>
        </w:rPr>
        <w:t>2</w:t>
      </w:r>
      <w:r w:rsidR="00C769A5">
        <w:rPr>
          <w:color w:val="000080"/>
          <w:lang w:val="sr-Cyrl-BA"/>
        </w:rPr>
        <w:t>4</w:t>
      </w:r>
      <w:r w:rsidR="00936F15">
        <w:rPr>
          <w:color w:val="000080"/>
        </w:rPr>
        <w:t xml:space="preserve">. </w:t>
      </w:r>
      <w:proofErr w:type="spellStart"/>
      <w:proofErr w:type="gramStart"/>
      <w:r w:rsidR="00936F15">
        <w:rPr>
          <w:color w:val="000080"/>
        </w:rPr>
        <w:t>годинe</w:t>
      </w:r>
      <w:proofErr w:type="spellEnd"/>
      <w:proofErr w:type="gramEnd"/>
    </w:p>
    <w:p w:rsidR="00936F15" w:rsidRDefault="00936F15" w:rsidP="00936F15">
      <w:pPr>
        <w:rPr>
          <w:rFonts w:ascii="Calibri" w:hAnsi="Calibri"/>
          <w:sz w:val="22"/>
          <w:szCs w:val="22"/>
        </w:rPr>
      </w:pPr>
    </w:p>
    <w:p w:rsidR="00A7666B" w:rsidRDefault="00A7666B" w:rsidP="00936F15">
      <w:pPr>
        <w:rPr>
          <w:rFonts w:ascii="Calibri" w:hAnsi="Calibri"/>
          <w:sz w:val="22"/>
          <w:szCs w:val="22"/>
        </w:rPr>
      </w:pPr>
    </w:p>
    <w:p w:rsidR="00A55842" w:rsidRPr="00F35A0F" w:rsidRDefault="00A55842" w:rsidP="004A107B">
      <w:pPr>
        <w:rPr>
          <w:rFonts w:ascii="Arial" w:hAnsi="Arial" w:cs="Arial"/>
          <w:sz w:val="20"/>
          <w:szCs w:val="20"/>
          <w:lang w:val="sr-Cyrl-BA"/>
        </w:rPr>
      </w:pPr>
    </w:p>
    <w:p w:rsidR="000C0606" w:rsidRDefault="000C0606" w:rsidP="004A107B">
      <w:pPr>
        <w:rPr>
          <w:rFonts w:ascii="Arial" w:hAnsi="Arial" w:cs="Arial"/>
          <w:sz w:val="20"/>
          <w:szCs w:val="20"/>
          <w:lang w:val="bs-Latn-BA"/>
        </w:rPr>
      </w:pPr>
    </w:p>
    <w:p w:rsidR="000C0606" w:rsidRDefault="000C0606" w:rsidP="004A107B">
      <w:pPr>
        <w:rPr>
          <w:rFonts w:ascii="Arial" w:hAnsi="Arial" w:cs="Arial"/>
          <w:sz w:val="20"/>
          <w:szCs w:val="20"/>
          <w:lang w:val="bs-Latn-BA"/>
        </w:rPr>
      </w:pPr>
    </w:p>
    <w:p w:rsidR="00CC2470" w:rsidRDefault="00CC2470" w:rsidP="004A107B">
      <w:pPr>
        <w:rPr>
          <w:rFonts w:ascii="Arial" w:hAnsi="Arial" w:cs="Arial"/>
          <w:sz w:val="20"/>
          <w:szCs w:val="20"/>
          <w:lang w:val="bs-Latn-BA"/>
        </w:rPr>
      </w:pPr>
    </w:p>
    <w:p w:rsidR="00CC2470" w:rsidRDefault="00CC2470" w:rsidP="004A107B">
      <w:pPr>
        <w:rPr>
          <w:rFonts w:ascii="Arial" w:hAnsi="Arial" w:cs="Arial"/>
          <w:sz w:val="20"/>
          <w:szCs w:val="20"/>
          <w:lang w:val="bs-Latn-BA"/>
        </w:rPr>
      </w:pPr>
    </w:p>
    <w:p w:rsidR="00CC2470" w:rsidRPr="000C0606" w:rsidRDefault="00CC2470" w:rsidP="004A107B">
      <w:pPr>
        <w:rPr>
          <w:rFonts w:ascii="Arial" w:hAnsi="Arial" w:cs="Arial"/>
          <w:sz w:val="20"/>
          <w:szCs w:val="20"/>
          <w:lang w:val="bs-Latn-BA"/>
        </w:rPr>
      </w:pPr>
    </w:p>
    <w:p w:rsidR="00E16CF6" w:rsidRPr="006C1B88" w:rsidRDefault="006B23BD" w:rsidP="00E16CF6">
      <w:pPr>
        <w:pStyle w:val="Heading2"/>
        <w:keepNext w:val="0"/>
        <w:keepLines w:val="0"/>
        <w:widowControl w:val="0"/>
        <w:pBdr>
          <w:top w:val="single" w:sz="4" w:space="1" w:color="auto"/>
          <w:left w:val="single" w:sz="4" w:space="21" w:color="auto"/>
          <w:bottom w:val="single" w:sz="4" w:space="1" w:color="auto"/>
          <w:right w:val="single" w:sz="4" w:space="1" w:color="auto"/>
        </w:pBdr>
        <w:tabs>
          <w:tab w:val="left" w:pos="-90"/>
        </w:tabs>
        <w:spacing w:before="120" w:after="120"/>
        <w:ind w:left="360"/>
        <w:jc w:val="both"/>
        <w:rPr>
          <w:rFonts w:ascii="Calibri" w:hAnsi="Calibri"/>
          <w:b w:val="0"/>
          <w:lang w:val="sr-Cyrl-CS"/>
        </w:rPr>
      </w:pPr>
      <w:r>
        <w:rPr>
          <w:rFonts w:ascii="Calibri" w:hAnsi="Calibri"/>
          <w:b w:val="0"/>
          <w:lang w:val="sr-Cyrl-CS"/>
        </w:rPr>
        <w:lastRenderedPageBreak/>
        <w:t>1</w:t>
      </w:r>
      <w:r w:rsidR="001776ED">
        <w:rPr>
          <w:rFonts w:ascii="Calibri" w:hAnsi="Calibri"/>
          <w:b w:val="0"/>
          <w:lang w:val="sr-Cyrl-CS"/>
        </w:rPr>
        <w:t>.</w:t>
      </w:r>
      <w:r w:rsidR="00E16CF6">
        <w:rPr>
          <w:rFonts w:ascii="Calibri" w:hAnsi="Calibri"/>
          <w:b w:val="0"/>
          <w:lang w:val="sr-Cyrl-CS"/>
        </w:rPr>
        <w:t xml:space="preserve">  Начело сталности пословања  </w:t>
      </w:r>
    </w:p>
    <w:tbl>
      <w:tblPr>
        <w:tblW w:w="100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1"/>
        <w:gridCol w:w="4279"/>
      </w:tblGrid>
      <w:tr w:rsidR="00E16CF6" w:rsidRPr="00EF53FE" w:rsidTr="00ED35F2">
        <w:trPr>
          <w:trHeight w:hRule="exact" w:val="428"/>
        </w:trPr>
        <w:tc>
          <w:tcPr>
            <w:tcW w:w="5801" w:type="dxa"/>
            <w:tcBorders>
              <w:right w:val="nil"/>
            </w:tcBorders>
          </w:tcPr>
          <w:p w:rsidR="00E16CF6" w:rsidRPr="00EF53FE" w:rsidRDefault="00E16CF6" w:rsidP="00ED35F2">
            <w:pPr>
              <w:pStyle w:val="zapazanje"/>
              <w:widowControl w:val="0"/>
              <w:ind w:left="0" w:right="144"/>
              <w:rPr>
                <w:rFonts w:ascii="Calibri" w:hAnsi="Calibri"/>
                <w:lang w:val="sr-Cyrl-CS"/>
              </w:rPr>
            </w:pPr>
            <w:r w:rsidRPr="00EF53FE">
              <w:rPr>
                <w:rFonts w:ascii="Calibri" w:hAnsi="Calibri"/>
                <w:lang w:val="sr-Cyrl-CS"/>
              </w:rPr>
              <w:br w:type="page"/>
              <w:t>ЗАПАЖАЊЕ</w:t>
            </w:r>
          </w:p>
        </w:tc>
        <w:tc>
          <w:tcPr>
            <w:tcW w:w="4279" w:type="dxa"/>
            <w:tcBorders>
              <w:left w:val="nil"/>
            </w:tcBorders>
          </w:tcPr>
          <w:p w:rsidR="00E16CF6" w:rsidRPr="00EF53FE" w:rsidRDefault="00E16CF6" w:rsidP="00ED35F2">
            <w:pPr>
              <w:pStyle w:val="zapazanje"/>
              <w:widowControl w:val="0"/>
              <w:ind w:left="0"/>
              <w:rPr>
                <w:rFonts w:ascii="Calibri" w:hAnsi="Calibri"/>
                <w:lang w:val="sr-Cyrl-CS"/>
              </w:rPr>
            </w:pPr>
            <w:r w:rsidRPr="00EF53FE">
              <w:rPr>
                <w:rFonts w:ascii="Calibri" w:hAnsi="Calibri"/>
                <w:lang w:val="sr-Cyrl-CS"/>
              </w:rPr>
              <w:t>ПРЕПОРУКА</w:t>
            </w:r>
          </w:p>
        </w:tc>
      </w:tr>
      <w:tr w:rsidR="00E16CF6" w:rsidRPr="00215F5C" w:rsidTr="00ED35F2">
        <w:trPr>
          <w:trHeight w:val="7431"/>
        </w:trPr>
        <w:tc>
          <w:tcPr>
            <w:tcW w:w="5801" w:type="dxa"/>
            <w:tcBorders>
              <w:top w:val="nil"/>
            </w:tcBorders>
          </w:tcPr>
          <w:p w:rsidR="00351158" w:rsidRPr="005A1846" w:rsidRDefault="00BB5264" w:rsidP="00223B66">
            <w:pPr>
              <w:pStyle w:val="BodyText"/>
              <w:widowControl w:val="0"/>
              <w:ind w:left="360"/>
              <w:jc w:val="left"/>
              <w:rPr>
                <w:rFonts w:ascii="Calibri" w:hAnsi="Calibri" w:cs="Calibri"/>
                <w:sz w:val="18"/>
                <w:szCs w:val="18"/>
                <w:highlight w:val="yellow"/>
                <w:lang w:val="sr-Cyrl-CS"/>
              </w:rPr>
            </w:pPr>
            <w:r>
              <w:rPr>
                <w:rFonts w:ascii="Calibri" w:hAnsi="Calibri" w:cs="Calibri"/>
                <w:szCs w:val="18"/>
                <w:lang w:val="sr-Cyrl-CS"/>
              </w:rPr>
              <w:t xml:space="preserve">Финансијски извјештаји Друштва су састављени у складу са начелом сталности пословања. Са стањем на дан 31. </w:t>
            </w:r>
            <w:r w:rsidR="002504B1">
              <w:rPr>
                <w:rFonts w:ascii="Calibri" w:hAnsi="Calibri" w:cs="Calibri"/>
                <w:szCs w:val="18"/>
                <w:lang w:val="sr-Cyrl-CS"/>
              </w:rPr>
              <w:t>д</w:t>
            </w:r>
            <w:r>
              <w:rPr>
                <w:rFonts w:ascii="Calibri" w:hAnsi="Calibri" w:cs="Calibri"/>
                <w:szCs w:val="18"/>
                <w:lang w:val="sr-Cyrl-CS"/>
              </w:rPr>
              <w:t>ецемб</w:t>
            </w:r>
            <w:r w:rsidR="002504B1">
              <w:rPr>
                <w:rFonts w:ascii="Calibri" w:hAnsi="Calibri" w:cs="Calibri"/>
                <w:szCs w:val="18"/>
                <w:lang w:val="sr-Cyrl-CS"/>
              </w:rPr>
              <w:t>ра</w:t>
            </w:r>
            <w:r>
              <w:rPr>
                <w:rFonts w:ascii="Calibri" w:hAnsi="Calibri" w:cs="Calibri"/>
                <w:szCs w:val="18"/>
                <w:lang w:val="sr-Cyrl-CS"/>
              </w:rPr>
              <w:t xml:space="preserve"> 2023. </w:t>
            </w:r>
            <w:r w:rsidR="002504B1">
              <w:rPr>
                <w:rFonts w:ascii="Calibri" w:hAnsi="Calibri" w:cs="Calibri"/>
                <w:szCs w:val="18"/>
                <w:lang w:val="sr-Cyrl-CS"/>
              </w:rPr>
              <w:t>г</w:t>
            </w:r>
            <w:r>
              <w:rPr>
                <w:rFonts w:ascii="Calibri" w:hAnsi="Calibri" w:cs="Calibri"/>
                <w:szCs w:val="18"/>
                <w:lang w:val="sr-Cyrl-CS"/>
              </w:rPr>
              <w:t xml:space="preserve">одине краткорочне обавезе Друштва су веће од његове обртне имовине за износ од </w:t>
            </w:r>
            <w:r w:rsidR="00223B66">
              <w:rPr>
                <w:rFonts w:ascii="Calibri" w:hAnsi="Calibri" w:cs="Calibri"/>
                <w:szCs w:val="18"/>
                <w:lang w:val="sr-Cyrl-CS"/>
              </w:rPr>
              <w:t>500.720</w:t>
            </w:r>
            <w:r>
              <w:rPr>
                <w:rFonts w:ascii="Calibri" w:hAnsi="Calibri" w:cs="Calibri"/>
                <w:szCs w:val="18"/>
                <w:lang w:val="sr-Cyrl-CS"/>
              </w:rPr>
              <w:t xml:space="preserve"> КМ. Овај индикатор указује на постојање потенцијалних проблема</w:t>
            </w:r>
            <w:r w:rsidR="00D51881">
              <w:rPr>
                <w:rFonts w:ascii="Calibri" w:hAnsi="Calibri" w:cs="Calibri"/>
                <w:szCs w:val="18"/>
                <w:lang w:val="sr-Cyrl-CS"/>
              </w:rPr>
              <w:t xml:space="preserve"> везаних за могућност нормалног одвијања оперативних активности у смислу сервисирања текућих обавеза кроз наплату потраживања у договореним роковима и износима.</w:t>
            </w:r>
          </w:p>
        </w:tc>
        <w:tc>
          <w:tcPr>
            <w:tcW w:w="4279" w:type="dxa"/>
            <w:tcBorders>
              <w:top w:val="nil"/>
            </w:tcBorders>
          </w:tcPr>
          <w:p w:rsidR="00E16CF6" w:rsidRDefault="00E16CF6" w:rsidP="00ED35F2">
            <w:pPr>
              <w:pStyle w:val="BodyText"/>
              <w:widowControl w:val="0"/>
              <w:spacing w:before="0" w:after="0"/>
              <w:rPr>
                <w:iCs/>
                <w:sz w:val="16"/>
                <w:szCs w:val="16"/>
                <w:lang w:val="sr-Cyrl-CS"/>
              </w:rPr>
            </w:pPr>
          </w:p>
          <w:p w:rsidR="00E16CF6" w:rsidRPr="00AD794B" w:rsidRDefault="00E16CF6" w:rsidP="00D00D6A">
            <w:pPr>
              <w:pStyle w:val="BodyText"/>
              <w:widowControl w:val="0"/>
              <w:numPr>
                <w:ilvl w:val="0"/>
                <w:numId w:val="22"/>
              </w:numPr>
              <w:spacing w:before="0" w:after="0"/>
              <w:jc w:val="left"/>
              <w:rPr>
                <w:rFonts w:ascii="Calibri" w:hAnsi="Calibri" w:cs="Calibri"/>
                <w:sz w:val="18"/>
                <w:szCs w:val="18"/>
                <w:highlight w:val="yellow"/>
                <w:lang w:val="sr-Cyrl-CS"/>
              </w:rPr>
            </w:pPr>
            <w:r w:rsidRPr="00AD794B">
              <w:rPr>
                <w:rFonts w:ascii="Calibri" w:hAnsi="Calibri"/>
                <w:iCs/>
                <w:sz w:val="18"/>
                <w:szCs w:val="18"/>
                <w:lang w:val="sr-Cyrl-CS"/>
              </w:rPr>
              <w:t xml:space="preserve"> </w:t>
            </w:r>
            <w:r w:rsidR="00D00D6A">
              <w:rPr>
                <w:rFonts w:ascii="Calibri" w:hAnsi="Calibri"/>
                <w:iCs/>
                <w:szCs w:val="18"/>
                <w:lang w:val="sr-Cyrl-CS"/>
              </w:rPr>
              <w:t>Р</w:t>
            </w:r>
            <w:r w:rsidR="00D51881">
              <w:rPr>
                <w:rFonts w:ascii="Calibri" w:hAnsi="Calibri"/>
                <w:iCs/>
                <w:szCs w:val="18"/>
                <w:lang w:val="sr-Cyrl-CS"/>
              </w:rPr>
              <w:t xml:space="preserve">уководство Друштва </w:t>
            </w:r>
            <w:r w:rsidR="00D00D6A">
              <w:rPr>
                <w:rFonts w:ascii="Calibri" w:hAnsi="Calibri"/>
                <w:iCs/>
                <w:szCs w:val="18"/>
                <w:lang w:val="sr-Cyrl-CS"/>
              </w:rPr>
              <w:t>мора</w:t>
            </w:r>
            <w:r w:rsidR="00D51881">
              <w:rPr>
                <w:rFonts w:ascii="Calibri" w:hAnsi="Calibri"/>
                <w:iCs/>
                <w:szCs w:val="18"/>
                <w:lang w:val="sr-Cyrl-CS"/>
              </w:rPr>
              <w:t xml:space="preserve"> предузети</w:t>
            </w:r>
            <w:r w:rsidR="002504B1">
              <w:rPr>
                <w:rFonts w:ascii="Calibri" w:hAnsi="Calibri"/>
                <w:iCs/>
                <w:szCs w:val="18"/>
                <w:lang w:val="sr-Cyrl-CS"/>
              </w:rPr>
              <w:t xml:space="preserve"> мјере</w:t>
            </w:r>
            <w:r w:rsidR="00D51881">
              <w:rPr>
                <w:rFonts w:ascii="Calibri" w:hAnsi="Calibri"/>
                <w:iCs/>
                <w:szCs w:val="18"/>
                <w:lang w:val="sr-Cyrl-CS"/>
              </w:rPr>
              <w:t xml:space="preserve"> обезбјеђивања континуираних извора финансирања, којим би се обезбједило нормално и континуирано обављање оперативних активности Друштва, као и да сачини План управљања ликвидности Друштва и да га прати.</w:t>
            </w:r>
          </w:p>
        </w:tc>
      </w:tr>
    </w:tbl>
    <w:p w:rsidR="00E16CF6" w:rsidRPr="00EF53FE" w:rsidRDefault="00E16CF6" w:rsidP="00E16CF6">
      <w:pPr>
        <w:widowControl w:val="0"/>
        <w:rPr>
          <w:rFonts w:ascii="Calibri" w:hAnsi="Calibri"/>
          <w:sz w:val="14"/>
          <w:lang w:val="sr-Cyrl-CS"/>
        </w:rPr>
      </w:pPr>
    </w:p>
    <w:tbl>
      <w:tblPr>
        <w:tblW w:w="100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E16CF6" w:rsidRPr="00EF53FE" w:rsidTr="00ED35F2">
        <w:trPr>
          <w:trHeight w:val="405"/>
        </w:trPr>
        <w:tc>
          <w:tcPr>
            <w:tcW w:w="10080" w:type="dxa"/>
          </w:tcPr>
          <w:p w:rsidR="00E16CF6" w:rsidRPr="0047361A" w:rsidRDefault="00E16CF6" w:rsidP="00ED35F2">
            <w:pPr>
              <w:pStyle w:val="zapazanje"/>
              <w:widowControl w:val="0"/>
              <w:spacing w:after="0"/>
              <w:ind w:left="0"/>
              <w:rPr>
                <w:rFonts w:ascii="Calibri" w:hAnsi="Calibri"/>
                <w:szCs w:val="22"/>
                <w:lang w:val="sr-Cyrl-CS"/>
              </w:rPr>
            </w:pPr>
            <w:r w:rsidRPr="0047361A">
              <w:rPr>
                <w:rFonts w:ascii="Calibri" w:hAnsi="Calibri"/>
                <w:szCs w:val="22"/>
                <w:lang w:val="sr-Cyrl-CS"/>
              </w:rPr>
              <w:t>ОДГОВОР РУКОВОДСТВА</w:t>
            </w:r>
          </w:p>
        </w:tc>
      </w:tr>
      <w:tr w:rsidR="00E16CF6" w:rsidRPr="00EF53FE" w:rsidTr="00ED35F2">
        <w:trPr>
          <w:trHeight w:hRule="exact" w:val="547"/>
        </w:trPr>
        <w:tc>
          <w:tcPr>
            <w:tcW w:w="10080" w:type="dxa"/>
          </w:tcPr>
          <w:p w:rsidR="00E16CF6" w:rsidRPr="00EF53FE" w:rsidRDefault="00E16CF6" w:rsidP="00ED35F2">
            <w:pPr>
              <w:widowControl w:val="0"/>
              <w:rPr>
                <w:rFonts w:ascii="Calibri" w:hAnsi="Calibri"/>
                <w:b/>
                <w:lang w:val="sr-Cyrl-BA"/>
              </w:rPr>
            </w:pPr>
            <w:r w:rsidRPr="00F16D7E">
              <w:rPr>
                <w:rFonts w:ascii="Calibri" w:hAnsi="Calibri"/>
                <w:b/>
                <w:i/>
                <w:sz w:val="20"/>
                <w:szCs w:val="20"/>
                <w:lang w:val="sr-Cyrl-BA"/>
              </w:rPr>
              <w:t>Препорука се прихвата</w:t>
            </w:r>
            <w:r w:rsidRPr="00EF53FE">
              <w:rPr>
                <w:rFonts w:ascii="Calibri" w:hAnsi="Calibri"/>
                <w:b/>
                <w:i/>
                <w:sz w:val="21"/>
                <w:lang w:val="sr-Cyrl-BA"/>
              </w:rPr>
              <w:t>.</w:t>
            </w:r>
          </w:p>
        </w:tc>
      </w:tr>
    </w:tbl>
    <w:p w:rsidR="00E16CF6" w:rsidRPr="00EF53FE" w:rsidRDefault="00E16CF6" w:rsidP="00E16CF6">
      <w:pPr>
        <w:rPr>
          <w:rFonts w:ascii="Calibri" w:hAnsi="Calibri"/>
          <w:lang w:val="sr-Cyrl-BA"/>
        </w:rPr>
      </w:pPr>
    </w:p>
    <w:tbl>
      <w:tblPr>
        <w:tblW w:w="100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E16CF6" w:rsidRPr="00EF53FE" w:rsidTr="00ED35F2">
        <w:trPr>
          <w:trHeight w:val="327"/>
        </w:trPr>
        <w:tc>
          <w:tcPr>
            <w:tcW w:w="10080" w:type="dxa"/>
          </w:tcPr>
          <w:p w:rsidR="00E16CF6" w:rsidRPr="0047361A" w:rsidRDefault="00E16CF6" w:rsidP="00ED35F2">
            <w:pPr>
              <w:pStyle w:val="zapazanje"/>
              <w:widowControl w:val="0"/>
              <w:spacing w:after="0"/>
              <w:ind w:left="0"/>
              <w:rPr>
                <w:rFonts w:ascii="Calibri" w:hAnsi="Calibri"/>
                <w:szCs w:val="22"/>
                <w:lang w:val="sr-Cyrl-CS"/>
              </w:rPr>
            </w:pPr>
            <w:r w:rsidRPr="0047361A">
              <w:rPr>
                <w:rFonts w:ascii="Calibri" w:hAnsi="Calibri"/>
                <w:szCs w:val="22"/>
                <w:lang w:val="sr-Cyrl-BA"/>
              </w:rPr>
              <w:t>МЈЕРА ЗА ОТКЛАЊАЊЕ НЕДОСТАТАКА</w:t>
            </w:r>
          </w:p>
        </w:tc>
      </w:tr>
      <w:tr w:rsidR="00E16CF6" w:rsidRPr="00EF53FE" w:rsidTr="00ED35F2">
        <w:trPr>
          <w:trHeight w:val="2823"/>
        </w:trPr>
        <w:tc>
          <w:tcPr>
            <w:tcW w:w="10080" w:type="dxa"/>
          </w:tcPr>
          <w:p w:rsidR="00E16CF6" w:rsidRDefault="00E16CF6" w:rsidP="00ED35F2">
            <w:pPr>
              <w:pStyle w:val="zapazanje"/>
              <w:widowControl w:val="0"/>
              <w:spacing w:after="0"/>
              <w:ind w:left="0"/>
              <w:rPr>
                <w:rFonts w:ascii="Calibri" w:hAnsi="Calibri"/>
                <w:color w:val="auto"/>
                <w:sz w:val="20"/>
                <w:lang w:val="sr-Cyrl-BA"/>
              </w:rPr>
            </w:pPr>
            <w:r>
              <w:rPr>
                <w:rFonts w:ascii="Calibri" w:hAnsi="Calibri"/>
                <w:color w:val="auto"/>
                <w:sz w:val="20"/>
                <w:lang w:val="sr-Cyrl-BA"/>
              </w:rPr>
              <w:t xml:space="preserve">Управа </w:t>
            </w:r>
            <w:r w:rsidR="00223B66">
              <w:rPr>
                <w:rFonts w:ascii="Calibri" w:hAnsi="Calibri"/>
                <w:color w:val="auto"/>
                <w:sz w:val="20"/>
                <w:lang w:val="sr-Cyrl-BA"/>
              </w:rPr>
              <w:t>Друштва</w:t>
            </w:r>
            <w:r>
              <w:rPr>
                <w:rFonts w:ascii="Calibri" w:hAnsi="Calibri"/>
                <w:color w:val="auto"/>
                <w:sz w:val="20"/>
                <w:lang w:val="sr-Cyrl-BA"/>
              </w:rPr>
              <w:t xml:space="preserve"> </w:t>
            </w:r>
            <w:r w:rsidR="00DF0F75">
              <w:rPr>
                <w:rFonts w:ascii="Calibri" w:hAnsi="Calibri"/>
                <w:color w:val="auto"/>
                <w:sz w:val="20"/>
                <w:lang w:val="sr-Cyrl-BA"/>
              </w:rPr>
              <w:t xml:space="preserve"> ће континуирано вршити процјену ликвидности и обезбјеђивати изворе финансирања, којим би се обезбједило нормално и  континуирано обављање</w:t>
            </w:r>
            <w:r w:rsidR="00A235D0">
              <w:rPr>
                <w:rFonts w:ascii="Calibri" w:hAnsi="Calibri"/>
                <w:color w:val="auto"/>
                <w:sz w:val="20"/>
                <w:lang w:val="sr-Cyrl-BA"/>
              </w:rPr>
              <w:t xml:space="preserve"> оперативних активности  Друштва.</w:t>
            </w:r>
          </w:p>
          <w:p w:rsidR="00A235D0" w:rsidRDefault="00A235D0" w:rsidP="00ED35F2">
            <w:pPr>
              <w:pStyle w:val="zapazanje"/>
              <w:widowControl w:val="0"/>
              <w:spacing w:after="0"/>
              <w:ind w:left="0"/>
              <w:rPr>
                <w:rFonts w:ascii="Calibri" w:hAnsi="Calibri"/>
                <w:color w:val="auto"/>
                <w:sz w:val="20"/>
                <w:lang w:val="sr-Cyrl-BA"/>
              </w:rPr>
            </w:pPr>
          </w:p>
          <w:p w:rsidR="00E16CF6" w:rsidRPr="002F10F2" w:rsidRDefault="00E16CF6" w:rsidP="00ED35F2">
            <w:pPr>
              <w:pStyle w:val="zapazanje"/>
              <w:widowControl w:val="0"/>
              <w:spacing w:after="0"/>
              <w:ind w:left="0"/>
              <w:rPr>
                <w:rFonts w:ascii="Calibri" w:hAnsi="Calibri"/>
                <w:color w:val="auto"/>
                <w:sz w:val="20"/>
                <w:lang w:val="sr-Cyrl-BA"/>
              </w:rPr>
            </w:pPr>
            <w:r>
              <w:rPr>
                <w:rFonts w:ascii="Calibri" w:hAnsi="Calibri"/>
                <w:color w:val="auto"/>
                <w:sz w:val="20"/>
                <w:lang w:val="sr-Cyrl-BA"/>
              </w:rPr>
              <w:t xml:space="preserve"> Носилац активности:  Управа Предузећа</w:t>
            </w:r>
          </w:p>
          <w:p w:rsidR="00E16CF6" w:rsidRPr="00222FA8" w:rsidRDefault="00E16CF6" w:rsidP="00ED35F2">
            <w:pPr>
              <w:pStyle w:val="zapazanje"/>
              <w:widowControl w:val="0"/>
              <w:spacing w:after="0"/>
              <w:ind w:left="0"/>
              <w:rPr>
                <w:rFonts w:ascii="Calibri" w:hAnsi="Calibri"/>
                <w:color w:val="auto"/>
                <w:sz w:val="24"/>
                <w:szCs w:val="24"/>
                <w:lang w:val="sr-Cyrl-BA"/>
              </w:rPr>
            </w:pPr>
            <w:r>
              <w:rPr>
                <w:rFonts w:ascii="Calibri" w:hAnsi="Calibri"/>
                <w:color w:val="auto"/>
                <w:sz w:val="20"/>
                <w:lang w:val="sr-Cyrl-BA"/>
              </w:rPr>
              <w:t xml:space="preserve">Рок: </w:t>
            </w:r>
            <w:r w:rsidR="00DF0F75">
              <w:rPr>
                <w:rFonts w:ascii="Calibri" w:hAnsi="Calibri"/>
                <w:color w:val="auto"/>
                <w:sz w:val="20"/>
                <w:lang w:val="sr-Cyrl-BA"/>
              </w:rPr>
              <w:t>Континуирано</w:t>
            </w:r>
          </w:p>
        </w:tc>
      </w:tr>
    </w:tbl>
    <w:p w:rsidR="00E16CF6" w:rsidRDefault="00E16CF6" w:rsidP="00E16CF6">
      <w:pPr>
        <w:rPr>
          <w:rFonts w:ascii="Arial" w:hAnsi="Arial" w:cs="Arial"/>
          <w:sz w:val="20"/>
          <w:szCs w:val="20"/>
          <w:lang w:val="sr-Cyrl-BA"/>
        </w:rPr>
      </w:pPr>
    </w:p>
    <w:p w:rsidR="00216B36" w:rsidRDefault="00216B36" w:rsidP="00E16CF6">
      <w:pPr>
        <w:rPr>
          <w:rFonts w:ascii="Arial" w:hAnsi="Arial" w:cs="Arial"/>
          <w:sz w:val="20"/>
          <w:szCs w:val="20"/>
          <w:lang w:val="sr-Cyrl-BA"/>
        </w:rPr>
      </w:pPr>
    </w:p>
    <w:p w:rsidR="003F5D31" w:rsidRDefault="003F5D31" w:rsidP="00216B36">
      <w:pPr>
        <w:rPr>
          <w:rFonts w:ascii="Arial" w:hAnsi="Arial" w:cs="Arial"/>
          <w:sz w:val="20"/>
          <w:szCs w:val="20"/>
        </w:rPr>
      </w:pPr>
    </w:p>
    <w:p w:rsidR="009073D0" w:rsidRDefault="009073D0" w:rsidP="00216B36">
      <w:pPr>
        <w:rPr>
          <w:rFonts w:ascii="Arial" w:hAnsi="Arial" w:cs="Arial"/>
          <w:sz w:val="20"/>
          <w:szCs w:val="20"/>
        </w:rPr>
      </w:pPr>
    </w:p>
    <w:p w:rsidR="00C769A5" w:rsidRDefault="00C769A5" w:rsidP="00C769A5">
      <w:pPr>
        <w:rPr>
          <w:rFonts w:ascii="Arial" w:hAnsi="Arial" w:cs="Arial"/>
          <w:sz w:val="20"/>
          <w:szCs w:val="20"/>
        </w:rPr>
      </w:pPr>
    </w:p>
    <w:p w:rsidR="00C769A5" w:rsidRPr="000C0606" w:rsidRDefault="00C769A5" w:rsidP="00C769A5">
      <w:pPr>
        <w:rPr>
          <w:rFonts w:ascii="Arial" w:hAnsi="Arial" w:cs="Arial"/>
          <w:sz w:val="20"/>
          <w:szCs w:val="20"/>
          <w:lang w:val="bs-Latn-BA"/>
        </w:rPr>
      </w:pPr>
    </w:p>
    <w:p w:rsidR="00C769A5" w:rsidRPr="006C1B88" w:rsidRDefault="00223B66" w:rsidP="00C769A5">
      <w:pPr>
        <w:pStyle w:val="Heading2"/>
        <w:keepNext w:val="0"/>
        <w:keepLines w:val="0"/>
        <w:widowControl w:val="0"/>
        <w:pBdr>
          <w:top w:val="single" w:sz="4" w:space="1" w:color="auto"/>
          <w:left w:val="single" w:sz="4" w:space="21" w:color="auto"/>
          <w:bottom w:val="single" w:sz="4" w:space="1" w:color="auto"/>
          <w:right w:val="single" w:sz="4" w:space="1" w:color="auto"/>
        </w:pBdr>
        <w:tabs>
          <w:tab w:val="left" w:pos="-90"/>
        </w:tabs>
        <w:spacing w:before="120" w:after="120"/>
        <w:ind w:left="360"/>
        <w:jc w:val="both"/>
        <w:rPr>
          <w:rFonts w:ascii="Calibri" w:hAnsi="Calibri"/>
          <w:b w:val="0"/>
          <w:lang w:val="sr-Cyrl-CS"/>
        </w:rPr>
      </w:pPr>
      <w:r>
        <w:rPr>
          <w:rFonts w:ascii="Calibri" w:hAnsi="Calibri"/>
          <w:b w:val="0"/>
          <w:lang w:val="sr-Cyrl-CS"/>
        </w:rPr>
        <w:lastRenderedPageBreak/>
        <w:t>2</w:t>
      </w:r>
      <w:r w:rsidR="00C769A5">
        <w:rPr>
          <w:rFonts w:ascii="Calibri" w:hAnsi="Calibri"/>
          <w:b w:val="0"/>
          <w:lang w:val="sr-Cyrl-CS"/>
        </w:rPr>
        <w:t xml:space="preserve">.  </w:t>
      </w:r>
      <w:r w:rsidR="00BB5264">
        <w:rPr>
          <w:rFonts w:ascii="Calibri" w:hAnsi="Calibri"/>
          <w:b w:val="0"/>
          <w:lang w:val="sr-Cyrl-CS"/>
        </w:rPr>
        <w:t>Исправка вриједности потраживања</w:t>
      </w:r>
      <w:r w:rsidR="00C769A5">
        <w:rPr>
          <w:rFonts w:ascii="Calibri" w:hAnsi="Calibri"/>
          <w:b w:val="0"/>
          <w:lang w:val="sr-Cyrl-CS"/>
        </w:rPr>
        <w:t xml:space="preserve">  </w:t>
      </w:r>
    </w:p>
    <w:tbl>
      <w:tblPr>
        <w:tblW w:w="100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1"/>
        <w:gridCol w:w="4279"/>
      </w:tblGrid>
      <w:tr w:rsidR="00C769A5" w:rsidRPr="00EF53FE" w:rsidTr="00021B2B">
        <w:trPr>
          <w:trHeight w:hRule="exact" w:val="428"/>
        </w:trPr>
        <w:tc>
          <w:tcPr>
            <w:tcW w:w="5801" w:type="dxa"/>
            <w:tcBorders>
              <w:right w:val="nil"/>
            </w:tcBorders>
          </w:tcPr>
          <w:p w:rsidR="00C769A5" w:rsidRPr="00EF53FE" w:rsidRDefault="00C769A5" w:rsidP="00021B2B">
            <w:pPr>
              <w:pStyle w:val="zapazanje"/>
              <w:widowControl w:val="0"/>
              <w:ind w:left="0" w:right="144"/>
              <w:rPr>
                <w:rFonts w:ascii="Calibri" w:hAnsi="Calibri"/>
                <w:lang w:val="sr-Cyrl-CS"/>
              </w:rPr>
            </w:pPr>
            <w:r w:rsidRPr="00EF53FE">
              <w:rPr>
                <w:rFonts w:ascii="Calibri" w:hAnsi="Calibri"/>
                <w:lang w:val="sr-Cyrl-CS"/>
              </w:rPr>
              <w:br w:type="page"/>
              <w:t>ЗАПАЖАЊЕ</w:t>
            </w:r>
          </w:p>
        </w:tc>
        <w:tc>
          <w:tcPr>
            <w:tcW w:w="4279" w:type="dxa"/>
            <w:tcBorders>
              <w:left w:val="nil"/>
            </w:tcBorders>
          </w:tcPr>
          <w:p w:rsidR="00C769A5" w:rsidRPr="00EF53FE" w:rsidRDefault="00C769A5" w:rsidP="00021B2B">
            <w:pPr>
              <w:pStyle w:val="zapazanje"/>
              <w:widowControl w:val="0"/>
              <w:ind w:left="0"/>
              <w:rPr>
                <w:rFonts w:ascii="Calibri" w:hAnsi="Calibri"/>
                <w:lang w:val="sr-Cyrl-CS"/>
              </w:rPr>
            </w:pPr>
            <w:r w:rsidRPr="00EF53FE">
              <w:rPr>
                <w:rFonts w:ascii="Calibri" w:hAnsi="Calibri"/>
                <w:lang w:val="sr-Cyrl-CS"/>
              </w:rPr>
              <w:t>ПРЕПОРУКА</w:t>
            </w:r>
          </w:p>
        </w:tc>
      </w:tr>
      <w:tr w:rsidR="00C769A5" w:rsidRPr="00215F5C" w:rsidTr="00021B2B">
        <w:trPr>
          <w:trHeight w:val="7431"/>
        </w:trPr>
        <w:tc>
          <w:tcPr>
            <w:tcW w:w="5801" w:type="dxa"/>
            <w:tcBorders>
              <w:top w:val="nil"/>
            </w:tcBorders>
          </w:tcPr>
          <w:p w:rsidR="00C769A5" w:rsidRPr="005A1846" w:rsidRDefault="00E119FA" w:rsidP="00223B66">
            <w:pPr>
              <w:pStyle w:val="BodyText"/>
              <w:widowControl w:val="0"/>
              <w:ind w:left="360"/>
              <w:jc w:val="left"/>
              <w:rPr>
                <w:rFonts w:ascii="Calibri" w:hAnsi="Calibri" w:cs="Calibri"/>
                <w:sz w:val="18"/>
                <w:szCs w:val="18"/>
                <w:highlight w:val="yellow"/>
                <w:lang w:val="sr-Cyrl-CS"/>
              </w:rPr>
            </w:pPr>
            <w:r>
              <w:rPr>
                <w:rFonts w:ascii="Calibri" w:hAnsi="Calibri" w:cs="Calibri"/>
                <w:szCs w:val="18"/>
                <w:lang w:val="sr-Cyrl-CS"/>
              </w:rPr>
              <w:t xml:space="preserve">Током обављања ревизије, констатовано је да су потраживања од повезаних правних лица на дан 31. </w:t>
            </w:r>
            <w:r w:rsidR="00F063C5">
              <w:rPr>
                <w:rFonts w:ascii="Calibri" w:hAnsi="Calibri" w:cs="Calibri"/>
                <w:szCs w:val="18"/>
                <w:lang w:val="sr-Cyrl-CS"/>
              </w:rPr>
              <w:t>д</w:t>
            </w:r>
            <w:r>
              <w:rPr>
                <w:rFonts w:ascii="Calibri" w:hAnsi="Calibri" w:cs="Calibri"/>
                <w:szCs w:val="18"/>
                <w:lang w:val="sr-Cyrl-CS"/>
              </w:rPr>
              <w:t xml:space="preserve">ецембра 2023. године исказана у бруто износу од </w:t>
            </w:r>
            <w:r w:rsidR="00223B66">
              <w:rPr>
                <w:rFonts w:ascii="Calibri" w:hAnsi="Calibri" w:cs="Calibri"/>
                <w:szCs w:val="18"/>
                <w:lang w:val="sr-Cyrl-CS"/>
              </w:rPr>
              <w:t>1.451.449</w:t>
            </w:r>
            <w:r>
              <w:rPr>
                <w:rFonts w:ascii="Calibri" w:hAnsi="Calibri" w:cs="Calibri"/>
                <w:szCs w:val="18"/>
                <w:lang w:val="sr-Cyrl-CS"/>
              </w:rPr>
              <w:t xml:space="preserve"> КМ. Наведена потраживања се, у највећем износу, односе на потраживања према Матичном предузећу а.д. Требиње. Друштво код признавања очекиваних кредитних губитака код потраживања од повезаних правних лица користи усвојене рачуноводствене политике, којима је дефинисано да се очекивани</w:t>
            </w:r>
            <w:r w:rsidR="00F063C5">
              <w:rPr>
                <w:rFonts w:ascii="Calibri" w:hAnsi="Calibri" w:cs="Calibri"/>
                <w:szCs w:val="18"/>
                <w:lang w:val="sr-Cyrl-CS"/>
              </w:rPr>
              <w:t xml:space="preserve"> кредитни губи</w:t>
            </w:r>
            <w:r>
              <w:rPr>
                <w:rFonts w:ascii="Calibri" w:hAnsi="Calibri" w:cs="Calibri"/>
                <w:szCs w:val="18"/>
                <w:lang w:val="sr-Cyrl-CS"/>
              </w:rPr>
              <w:t>ци за повезана правна лица обрачунавају у проценту од 1%</w:t>
            </w:r>
            <w:r w:rsidR="002504B1">
              <w:rPr>
                <w:rFonts w:ascii="Calibri" w:hAnsi="Calibri" w:cs="Calibri"/>
                <w:szCs w:val="18"/>
                <w:lang w:val="sr-Cyrl-CS"/>
              </w:rPr>
              <w:t xml:space="preserve"> на ненаплаћена пораживања. Друштво приликом обрачуна очекиваних кредитних губитака није користило процјену из усвојених рачуноводствених политика која каже да се Потраживања од купаца, без обзира којој групи потраживања припадају, а чија потраживања са стањем на дан процјене износе 1.000.000 КМ и више процјењују појединачно.</w:t>
            </w:r>
          </w:p>
        </w:tc>
        <w:tc>
          <w:tcPr>
            <w:tcW w:w="4279" w:type="dxa"/>
            <w:tcBorders>
              <w:top w:val="nil"/>
            </w:tcBorders>
          </w:tcPr>
          <w:p w:rsidR="00C769A5" w:rsidRDefault="00C769A5" w:rsidP="00021B2B">
            <w:pPr>
              <w:pStyle w:val="BodyText"/>
              <w:widowControl w:val="0"/>
              <w:spacing w:before="0" w:after="0"/>
              <w:rPr>
                <w:iCs/>
                <w:sz w:val="16"/>
                <w:szCs w:val="16"/>
                <w:lang w:val="sr-Cyrl-CS"/>
              </w:rPr>
            </w:pPr>
          </w:p>
          <w:p w:rsidR="00C769A5" w:rsidRPr="00AD794B" w:rsidRDefault="00C769A5" w:rsidP="00E00937">
            <w:pPr>
              <w:pStyle w:val="BodyText"/>
              <w:widowControl w:val="0"/>
              <w:numPr>
                <w:ilvl w:val="0"/>
                <w:numId w:val="22"/>
              </w:numPr>
              <w:spacing w:before="0" w:after="0"/>
              <w:jc w:val="left"/>
              <w:rPr>
                <w:rFonts w:ascii="Calibri" w:hAnsi="Calibri" w:cs="Calibri"/>
                <w:sz w:val="18"/>
                <w:szCs w:val="18"/>
                <w:highlight w:val="yellow"/>
                <w:lang w:val="sr-Cyrl-CS"/>
              </w:rPr>
            </w:pPr>
            <w:r w:rsidRPr="00AD794B">
              <w:rPr>
                <w:rFonts w:ascii="Calibri" w:hAnsi="Calibri"/>
                <w:iCs/>
                <w:sz w:val="18"/>
                <w:szCs w:val="18"/>
                <w:lang w:val="sr-Cyrl-CS"/>
              </w:rPr>
              <w:t xml:space="preserve"> </w:t>
            </w:r>
            <w:r w:rsidR="00D00D6A">
              <w:rPr>
                <w:rFonts w:ascii="Calibri" w:hAnsi="Calibri"/>
                <w:iCs/>
                <w:szCs w:val="18"/>
                <w:lang w:val="sr-Cyrl-CS"/>
              </w:rPr>
              <w:t>Р</w:t>
            </w:r>
            <w:r w:rsidR="002504B1">
              <w:rPr>
                <w:rFonts w:ascii="Calibri" w:hAnsi="Calibri"/>
                <w:iCs/>
                <w:szCs w:val="18"/>
                <w:lang w:val="sr-Cyrl-CS"/>
              </w:rPr>
              <w:t xml:space="preserve">уководство Друштва </w:t>
            </w:r>
            <w:r w:rsidR="00D00D6A">
              <w:rPr>
                <w:rFonts w:ascii="Calibri" w:hAnsi="Calibri"/>
                <w:iCs/>
                <w:szCs w:val="18"/>
                <w:lang w:val="sr-Cyrl-CS"/>
              </w:rPr>
              <w:t xml:space="preserve">мора </w:t>
            </w:r>
            <w:r w:rsidR="002504B1">
              <w:rPr>
                <w:rFonts w:ascii="Calibri" w:hAnsi="Calibri"/>
                <w:iCs/>
                <w:szCs w:val="18"/>
                <w:lang w:val="sr-Cyrl-CS"/>
              </w:rPr>
              <w:t>изврш</w:t>
            </w:r>
            <w:r w:rsidR="00D00D6A">
              <w:rPr>
                <w:rFonts w:ascii="Calibri" w:hAnsi="Calibri"/>
                <w:iCs/>
                <w:szCs w:val="18"/>
                <w:lang w:val="sr-Cyrl-CS"/>
              </w:rPr>
              <w:t>ит</w:t>
            </w:r>
            <w:r w:rsidR="002504B1">
              <w:rPr>
                <w:rFonts w:ascii="Calibri" w:hAnsi="Calibri"/>
                <w:iCs/>
                <w:szCs w:val="18"/>
                <w:lang w:val="sr-Cyrl-CS"/>
              </w:rPr>
              <w:t>и процјену пораживања од повезаног правног лица МП а.д. Требиње чији салдо премашује износ од 1.000.000 КМ у с</w:t>
            </w:r>
            <w:r w:rsidR="00E00937">
              <w:rPr>
                <w:rFonts w:ascii="Calibri" w:hAnsi="Calibri"/>
                <w:iCs/>
                <w:szCs w:val="18"/>
                <w:lang w:val="sr-Cyrl-CS"/>
              </w:rPr>
              <w:t>кладу</w:t>
            </w:r>
            <w:r w:rsidR="002504B1">
              <w:rPr>
                <w:rFonts w:ascii="Calibri" w:hAnsi="Calibri"/>
                <w:iCs/>
                <w:szCs w:val="18"/>
                <w:lang w:val="sr-Cyrl-CS"/>
              </w:rPr>
              <w:t xml:space="preserve"> са чланом 107. </w:t>
            </w:r>
            <w:r w:rsidR="00E00937">
              <w:rPr>
                <w:rFonts w:ascii="Calibri" w:hAnsi="Calibri"/>
                <w:iCs/>
                <w:szCs w:val="18"/>
                <w:lang w:val="sr-Cyrl-CS"/>
              </w:rPr>
              <w:t>с</w:t>
            </w:r>
            <w:r w:rsidR="002504B1">
              <w:rPr>
                <w:rFonts w:ascii="Calibri" w:hAnsi="Calibri"/>
                <w:iCs/>
                <w:szCs w:val="18"/>
                <w:lang w:val="sr-Cyrl-CS"/>
              </w:rPr>
              <w:t>тав (4) Правилника о рачуноводственим политикама Мјешовитог Холдинга Електропривреде Републике Српске.</w:t>
            </w:r>
            <w:r w:rsidRPr="00DE6683">
              <w:rPr>
                <w:rFonts w:ascii="Calibri" w:hAnsi="Calibri"/>
                <w:iCs/>
                <w:szCs w:val="18"/>
                <w:lang w:val="sr-Cyrl-CS"/>
              </w:rPr>
              <w:t xml:space="preserve"> </w:t>
            </w:r>
          </w:p>
        </w:tc>
      </w:tr>
    </w:tbl>
    <w:p w:rsidR="00C769A5" w:rsidRPr="00EF53FE" w:rsidRDefault="00C769A5" w:rsidP="00C769A5">
      <w:pPr>
        <w:widowControl w:val="0"/>
        <w:rPr>
          <w:rFonts w:ascii="Calibri" w:hAnsi="Calibri"/>
          <w:sz w:val="14"/>
          <w:lang w:val="sr-Cyrl-CS"/>
        </w:rPr>
      </w:pPr>
    </w:p>
    <w:tbl>
      <w:tblPr>
        <w:tblW w:w="100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C769A5" w:rsidRPr="00EF53FE" w:rsidTr="00021B2B">
        <w:trPr>
          <w:trHeight w:val="405"/>
        </w:trPr>
        <w:tc>
          <w:tcPr>
            <w:tcW w:w="10080" w:type="dxa"/>
          </w:tcPr>
          <w:p w:rsidR="00C769A5" w:rsidRPr="0047361A" w:rsidRDefault="00C769A5" w:rsidP="00021B2B">
            <w:pPr>
              <w:pStyle w:val="zapazanje"/>
              <w:widowControl w:val="0"/>
              <w:spacing w:after="0"/>
              <w:ind w:left="0"/>
              <w:rPr>
                <w:rFonts w:ascii="Calibri" w:hAnsi="Calibri"/>
                <w:szCs w:val="22"/>
                <w:lang w:val="sr-Cyrl-CS"/>
              </w:rPr>
            </w:pPr>
            <w:r w:rsidRPr="0047361A">
              <w:rPr>
                <w:rFonts w:ascii="Calibri" w:hAnsi="Calibri"/>
                <w:szCs w:val="22"/>
                <w:lang w:val="sr-Cyrl-CS"/>
              </w:rPr>
              <w:t>ОДГОВОР РУКОВОДСТВА</w:t>
            </w:r>
          </w:p>
        </w:tc>
      </w:tr>
      <w:tr w:rsidR="00C769A5" w:rsidRPr="00EF53FE" w:rsidTr="00021B2B">
        <w:trPr>
          <w:trHeight w:hRule="exact" w:val="547"/>
        </w:trPr>
        <w:tc>
          <w:tcPr>
            <w:tcW w:w="10080" w:type="dxa"/>
          </w:tcPr>
          <w:p w:rsidR="00C769A5" w:rsidRPr="00EF53FE" w:rsidRDefault="00C769A5" w:rsidP="00021B2B">
            <w:pPr>
              <w:widowControl w:val="0"/>
              <w:rPr>
                <w:rFonts w:ascii="Calibri" w:hAnsi="Calibri"/>
                <w:b/>
                <w:lang w:val="sr-Cyrl-BA"/>
              </w:rPr>
            </w:pPr>
            <w:r w:rsidRPr="00F16D7E">
              <w:rPr>
                <w:rFonts w:ascii="Calibri" w:hAnsi="Calibri"/>
                <w:b/>
                <w:i/>
                <w:sz w:val="20"/>
                <w:szCs w:val="20"/>
                <w:lang w:val="sr-Cyrl-BA"/>
              </w:rPr>
              <w:t>Препорука се прихвата</w:t>
            </w:r>
            <w:r w:rsidRPr="00EF53FE">
              <w:rPr>
                <w:rFonts w:ascii="Calibri" w:hAnsi="Calibri"/>
                <w:b/>
                <w:i/>
                <w:sz w:val="21"/>
                <w:lang w:val="sr-Cyrl-BA"/>
              </w:rPr>
              <w:t>.</w:t>
            </w:r>
          </w:p>
        </w:tc>
      </w:tr>
    </w:tbl>
    <w:p w:rsidR="00C769A5" w:rsidRPr="00EF53FE" w:rsidRDefault="00C769A5" w:rsidP="00C769A5">
      <w:pPr>
        <w:rPr>
          <w:rFonts w:ascii="Calibri" w:hAnsi="Calibri"/>
          <w:lang w:val="sr-Cyrl-BA"/>
        </w:rPr>
      </w:pPr>
    </w:p>
    <w:tbl>
      <w:tblPr>
        <w:tblW w:w="100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C769A5" w:rsidRPr="00EF53FE" w:rsidTr="00021B2B">
        <w:trPr>
          <w:trHeight w:val="327"/>
        </w:trPr>
        <w:tc>
          <w:tcPr>
            <w:tcW w:w="10080" w:type="dxa"/>
          </w:tcPr>
          <w:p w:rsidR="00C769A5" w:rsidRPr="0047361A" w:rsidRDefault="00C769A5" w:rsidP="00021B2B">
            <w:pPr>
              <w:pStyle w:val="zapazanje"/>
              <w:widowControl w:val="0"/>
              <w:spacing w:after="0"/>
              <w:ind w:left="0"/>
              <w:rPr>
                <w:rFonts w:ascii="Calibri" w:hAnsi="Calibri"/>
                <w:szCs w:val="22"/>
                <w:lang w:val="sr-Cyrl-CS"/>
              </w:rPr>
            </w:pPr>
            <w:r w:rsidRPr="0047361A">
              <w:rPr>
                <w:rFonts w:ascii="Calibri" w:hAnsi="Calibri"/>
                <w:szCs w:val="22"/>
                <w:lang w:val="sr-Cyrl-BA"/>
              </w:rPr>
              <w:t>МЈЕРА ЗА ОТКЛАЊАЊЕ НЕДОСТАТАКА</w:t>
            </w:r>
          </w:p>
        </w:tc>
      </w:tr>
      <w:tr w:rsidR="00C769A5" w:rsidRPr="00EF53FE" w:rsidTr="00021B2B">
        <w:trPr>
          <w:trHeight w:val="2823"/>
        </w:trPr>
        <w:tc>
          <w:tcPr>
            <w:tcW w:w="10080" w:type="dxa"/>
          </w:tcPr>
          <w:p w:rsidR="00C769A5" w:rsidRDefault="00D00D6A" w:rsidP="00021B2B">
            <w:pPr>
              <w:pStyle w:val="zapazanje"/>
              <w:widowControl w:val="0"/>
              <w:spacing w:after="0"/>
              <w:ind w:left="0"/>
              <w:rPr>
                <w:rFonts w:ascii="Calibri" w:hAnsi="Calibri"/>
                <w:iCs/>
                <w:color w:val="auto"/>
                <w:sz w:val="20"/>
                <w:szCs w:val="18"/>
                <w:lang w:val="sr-Cyrl-CS"/>
              </w:rPr>
            </w:pPr>
            <w:r w:rsidRPr="00D00D6A">
              <w:rPr>
                <w:rFonts w:ascii="Calibri" w:hAnsi="Calibri"/>
                <w:iCs/>
                <w:color w:val="auto"/>
                <w:sz w:val="20"/>
                <w:szCs w:val="18"/>
                <w:lang w:val="sr-Cyrl-CS"/>
              </w:rPr>
              <w:t>Друштв</w:t>
            </w:r>
            <w:r w:rsidR="00223B66">
              <w:rPr>
                <w:rFonts w:ascii="Calibri" w:hAnsi="Calibri"/>
                <w:iCs/>
                <w:color w:val="auto"/>
                <w:sz w:val="20"/>
                <w:szCs w:val="18"/>
                <w:lang w:val="sr-Cyrl-CS"/>
              </w:rPr>
              <w:t>о</w:t>
            </w:r>
            <w:r w:rsidRPr="00D00D6A">
              <w:rPr>
                <w:rFonts w:ascii="Calibri" w:hAnsi="Calibri"/>
                <w:iCs/>
                <w:color w:val="auto"/>
                <w:sz w:val="20"/>
                <w:szCs w:val="18"/>
                <w:lang w:val="sr-Cyrl-CS"/>
              </w:rPr>
              <w:t xml:space="preserve"> </w:t>
            </w:r>
            <w:r>
              <w:rPr>
                <w:rFonts w:ascii="Calibri" w:hAnsi="Calibri"/>
                <w:iCs/>
                <w:color w:val="auto"/>
                <w:sz w:val="20"/>
                <w:szCs w:val="18"/>
                <w:lang w:val="sr-Cyrl-CS"/>
              </w:rPr>
              <w:t>ће</w:t>
            </w:r>
            <w:r w:rsidRPr="00D00D6A">
              <w:rPr>
                <w:rFonts w:ascii="Calibri" w:hAnsi="Calibri"/>
                <w:iCs/>
                <w:color w:val="auto"/>
                <w:sz w:val="20"/>
                <w:szCs w:val="18"/>
                <w:lang w:val="sr-Cyrl-CS"/>
              </w:rPr>
              <w:t xml:space="preserve"> извршити процјену пораживања од повезаног правног лица МП а.д. Требиње чији салдо премашује износ од 1.000.000 КМ у складу са чланом 107. став (4) Правилника о рачуноводственим политикама Мјешовитог Холдинга Електропривреде Републике Српске. </w:t>
            </w:r>
          </w:p>
          <w:p w:rsidR="00D00D6A" w:rsidRPr="00D00D6A" w:rsidRDefault="00D00D6A" w:rsidP="00021B2B">
            <w:pPr>
              <w:pStyle w:val="zapazanje"/>
              <w:widowControl w:val="0"/>
              <w:spacing w:after="0"/>
              <w:ind w:left="0"/>
              <w:rPr>
                <w:rFonts w:ascii="Calibri" w:hAnsi="Calibri"/>
                <w:color w:val="auto"/>
                <w:sz w:val="18"/>
                <w:lang w:val="sr-Cyrl-BA"/>
              </w:rPr>
            </w:pPr>
          </w:p>
          <w:p w:rsidR="00C769A5" w:rsidRPr="002F10F2" w:rsidRDefault="00C769A5" w:rsidP="00021B2B">
            <w:pPr>
              <w:pStyle w:val="zapazanje"/>
              <w:widowControl w:val="0"/>
              <w:spacing w:after="0"/>
              <w:ind w:left="0"/>
              <w:rPr>
                <w:rFonts w:ascii="Calibri" w:hAnsi="Calibri"/>
                <w:color w:val="auto"/>
                <w:sz w:val="20"/>
                <w:lang w:val="sr-Cyrl-BA"/>
              </w:rPr>
            </w:pPr>
            <w:r>
              <w:rPr>
                <w:rFonts w:ascii="Calibri" w:hAnsi="Calibri"/>
                <w:color w:val="auto"/>
                <w:sz w:val="20"/>
                <w:lang w:val="sr-Cyrl-BA"/>
              </w:rPr>
              <w:t xml:space="preserve">Носилац активности:  </w:t>
            </w:r>
            <w:r w:rsidR="00D00D6A">
              <w:rPr>
                <w:rFonts w:ascii="Calibri" w:hAnsi="Calibri"/>
                <w:color w:val="auto"/>
                <w:sz w:val="20"/>
                <w:lang w:val="sr-Cyrl-BA"/>
              </w:rPr>
              <w:t>Служба за рачуноводство</w:t>
            </w:r>
          </w:p>
          <w:p w:rsidR="00C769A5" w:rsidRPr="00222FA8" w:rsidRDefault="00C769A5" w:rsidP="00D00D6A">
            <w:pPr>
              <w:pStyle w:val="zapazanje"/>
              <w:widowControl w:val="0"/>
              <w:spacing w:after="0"/>
              <w:ind w:left="0"/>
              <w:rPr>
                <w:rFonts w:ascii="Calibri" w:hAnsi="Calibri"/>
                <w:color w:val="auto"/>
                <w:sz w:val="24"/>
                <w:szCs w:val="24"/>
                <w:lang w:val="sr-Cyrl-BA"/>
              </w:rPr>
            </w:pPr>
            <w:r>
              <w:rPr>
                <w:rFonts w:ascii="Calibri" w:hAnsi="Calibri"/>
                <w:color w:val="auto"/>
                <w:sz w:val="20"/>
                <w:lang w:val="sr-Cyrl-BA"/>
              </w:rPr>
              <w:t xml:space="preserve">Рок: </w:t>
            </w:r>
            <w:r w:rsidR="00D00D6A">
              <w:rPr>
                <w:rFonts w:ascii="Calibri" w:hAnsi="Calibri"/>
                <w:color w:val="auto"/>
                <w:sz w:val="20"/>
                <w:lang w:val="sr-Cyrl-BA"/>
              </w:rPr>
              <w:t>До краја израде финансијског извјештаја за 2024. годину.</w:t>
            </w:r>
          </w:p>
        </w:tc>
      </w:tr>
    </w:tbl>
    <w:p w:rsidR="00C769A5" w:rsidRDefault="00C769A5" w:rsidP="00C769A5">
      <w:pPr>
        <w:rPr>
          <w:rFonts w:ascii="Arial" w:hAnsi="Arial" w:cs="Arial"/>
          <w:sz w:val="20"/>
          <w:szCs w:val="20"/>
          <w:lang w:val="sr-Cyrl-BA"/>
        </w:rPr>
      </w:pPr>
    </w:p>
    <w:sectPr w:rsidR="00C769A5" w:rsidSect="00411846">
      <w:headerReference w:type="default" r:id="rId8"/>
      <w:pgSz w:w="11907" w:h="16840" w:code="9"/>
      <w:pgMar w:top="1140" w:right="1417" w:bottom="1140" w:left="990" w:header="561" w:footer="862"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5AF" w:rsidRDefault="00C675AF">
      <w:r>
        <w:separator/>
      </w:r>
    </w:p>
  </w:endnote>
  <w:endnote w:type="continuationSeparator" w:id="0">
    <w:p w:rsidR="00C675AF" w:rsidRDefault="00C6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C">
    <w:altName w:val="Courier New"/>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5AF" w:rsidRDefault="00C675AF">
      <w:r>
        <w:separator/>
      </w:r>
    </w:p>
  </w:footnote>
  <w:footnote w:type="continuationSeparator" w:id="0">
    <w:p w:rsidR="00C675AF" w:rsidRDefault="00C67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41" w:rsidRPr="007A46FD" w:rsidRDefault="000A1841" w:rsidP="005B0CDE">
    <w:pPr>
      <w:pStyle w:val="Header"/>
      <w:spacing w:line="120" w:lineRule="auto"/>
      <w:rPr>
        <w:lang w:val="sr-Cyrl-B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32C127A"/>
    <w:lvl w:ilvl="0">
      <w:numFmt w:val="decimal"/>
      <w:pStyle w:val="Preporuka"/>
      <w:lvlText w:val="*"/>
      <w:lvlJc w:val="left"/>
    </w:lvl>
  </w:abstractNum>
  <w:abstractNum w:abstractNumId="1" w15:restartNumberingAfterBreak="0">
    <w:nsid w:val="0755756C"/>
    <w:multiLevelType w:val="hybridMultilevel"/>
    <w:tmpl w:val="2356FBCE"/>
    <w:lvl w:ilvl="0" w:tplc="95461C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6367BC"/>
    <w:multiLevelType w:val="hybridMultilevel"/>
    <w:tmpl w:val="E350F7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E454B"/>
    <w:multiLevelType w:val="multilevel"/>
    <w:tmpl w:val="14CE6E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791720"/>
    <w:multiLevelType w:val="hybridMultilevel"/>
    <w:tmpl w:val="31C83848"/>
    <w:lvl w:ilvl="0" w:tplc="E2C06EDA">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26AF3EC6"/>
    <w:multiLevelType w:val="hybridMultilevel"/>
    <w:tmpl w:val="8FE25D8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86821"/>
    <w:multiLevelType w:val="hybridMultilevel"/>
    <w:tmpl w:val="6672B884"/>
    <w:lvl w:ilvl="0" w:tplc="6B700D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90392"/>
    <w:multiLevelType w:val="hybridMultilevel"/>
    <w:tmpl w:val="C778BA1E"/>
    <w:lvl w:ilvl="0" w:tplc="4B600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C163B"/>
    <w:multiLevelType w:val="multilevel"/>
    <w:tmpl w:val="15EE9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5648DA"/>
    <w:multiLevelType w:val="hybridMultilevel"/>
    <w:tmpl w:val="4246DEFA"/>
    <w:lvl w:ilvl="0" w:tplc="B2FE4A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258D3"/>
    <w:multiLevelType w:val="hybridMultilevel"/>
    <w:tmpl w:val="CAACE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B23DB"/>
    <w:multiLevelType w:val="multilevel"/>
    <w:tmpl w:val="94EA4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C47BA2"/>
    <w:multiLevelType w:val="hybridMultilevel"/>
    <w:tmpl w:val="E2E03BA0"/>
    <w:lvl w:ilvl="0" w:tplc="B2FE4AE8">
      <w:start w:val="1"/>
      <w:numFmt w:val="bullet"/>
      <w:lvlText w:val=""/>
      <w:lvlJc w:val="left"/>
      <w:pPr>
        <w:tabs>
          <w:tab w:val="num" w:pos="1439"/>
        </w:tabs>
        <w:ind w:left="1439" w:hanging="360"/>
      </w:pPr>
      <w:rPr>
        <w:rFonts w:ascii="Wingdings" w:hAnsi="Wingdings" w:hint="default"/>
        <w:color w:val="auto"/>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40CD3571"/>
    <w:multiLevelType w:val="hybridMultilevel"/>
    <w:tmpl w:val="CDF86296"/>
    <w:lvl w:ilvl="0" w:tplc="B2FE4A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3114B"/>
    <w:multiLevelType w:val="hybridMultilevel"/>
    <w:tmpl w:val="3D460F9E"/>
    <w:lvl w:ilvl="0" w:tplc="B2FE4AE8">
      <w:start w:val="1"/>
      <w:numFmt w:val="bullet"/>
      <w:lvlText w:val=""/>
      <w:lvlJc w:val="left"/>
      <w:pPr>
        <w:tabs>
          <w:tab w:val="num" w:pos="1552"/>
        </w:tabs>
        <w:ind w:left="1552" w:hanging="360"/>
      </w:pPr>
      <w:rPr>
        <w:rFonts w:ascii="Wingdings" w:hAnsi="Wingdings" w:hint="default"/>
        <w:color w:val="auto"/>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5" w15:restartNumberingAfterBreak="0">
    <w:nsid w:val="483C5D78"/>
    <w:multiLevelType w:val="hybridMultilevel"/>
    <w:tmpl w:val="AE128420"/>
    <w:lvl w:ilvl="0" w:tplc="B2FE4AE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6" w15:restartNumberingAfterBreak="0">
    <w:nsid w:val="4D7F58FD"/>
    <w:multiLevelType w:val="hybridMultilevel"/>
    <w:tmpl w:val="4764329A"/>
    <w:lvl w:ilvl="0" w:tplc="B2FE4AE8">
      <w:start w:val="1"/>
      <w:numFmt w:val="bullet"/>
      <w:lvlText w:val=""/>
      <w:lvlJc w:val="left"/>
      <w:pPr>
        <w:ind w:left="1446" w:hanging="360"/>
      </w:pPr>
      <w:rPr>
        <w:rFonts w:ascii="Wingdings" w:hAnsi="Wingdings" w:hint="default"/>
        <w:color w:val="auto"/>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52123A4F"/>
    <w:multiLevelType w:val="hybridMultilevel"/>
    <w:tmpl w:val="0576F45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C44175"/>
    <w:multiLevelType w:val="hybridMultilevel"/>
    <w:tmpl w:val="57AE45A2"/>
    <w:lvl w:ilvl="0" w:tplc="DC0AEE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553D6"/>
    <w:multiLevelType w:val="hybridMultilevel"/>
    <w:tmpl w:val="DE2C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C76A4"/>
    <w:multiLevelType w:val="multilevel"/>
    <w:tmpl w:val="11BA587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FC2909"/>
    <w:multiLevelType w:val="hybridMultilevel"/>
    <w:tmpl w:val="29D8B85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68891BCD"/>
    <w:multiLevelType w:val="multilevel"/>
    <w:tmpl w:val="407C4A8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3A47BC"/>
    <w:multiLevelType w:val="hybridMultilevel"/>
    <w:tmpl w:val="122A558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EF5326"/>
    <w:multiLevelType w:val="hybridMultilevel"/>
    <w:tmpl w:val="569406A2"/>
    <w:lvl w:ilvl="0" w:tplc="B2FE4AE8">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653F1C"/>
    <w:multiLevelType w:val="multilevel"/>
    <w:tmpl w:val="C10097E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BF37401"/>
    <w:multiLevelType w:val="hybridMultilevel"/>
    <w:tmpl w:val="B4965300"/>
    <w:lvl w:ilvl="0" w:tplc="B2FE4AE8">
      <w:start w:val="1"/>
      <w:numFmt w:val="bullet"/>
      <w:lvlText w:val=""/>
      <w:lvlJc w:val="left"/>
      <w:pPr>
        <w:tabs>
          <w:tab w:val="num" w:pos="1439"/>
        </w:tabs>
        <w:ind w:left="1439" w:hanging="360"/>
      </w:pPr>
      <w:rPr>
        <w:rFonts w:ascii="Wingdings" w:hAnsi="Wingdings" w:hint="default"/>
        <w:color w:val="auto"/>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num w:numId="1">
    <w:abstractNumId w:val="18"/>
  </w:num>
  <w:num w:numId="2">
    <w:abstractNumId w:val="4"/>
  </w:num>
  <w:num w:numId="3">
    <w:abstractNumId w:val="7"/>
  </w:num>
  <w:num w:numId="4">
    <w:abstractNumId w:val="6"/>
  </w:num>
  <w:num w:numId="5">
    <w:abstractNumId w:val="1"/>
  </w:num>
  <w:num w:numId="6">
    <w:abstractNumId w:val="8"/>
  </w:num>
  <w:num w:numId="7">
    <w:abstractNumId w:val="0"/>
    <w:lvlOverride w:ilvl="0">
      <w:lvl w:ilvl="0">
        <w:start w:val="1"/>
        <w:numFmt w:val="bullet"/>
        <w:pStyle w:val="Preporuka"/>
        <w:lvlText w:val=""/>
        <w:lvlJc w:val="left"/>
        <w:pPr>
          <w:tabs>
            <w:tab w:val="num" w:pos="473"/>
          </w:tabs>
          <w:ind w:left="473" w:hanging="360"/>
        </w:pPr>
        <w:rPr>
          <w:rFonts w:ascii="Wingdings" w:hAnsi="Wingdings" w:hint="default"/>
          <w:color w:val="000080"/>
        </w:rPr>
      </w:lvl>
    </w:lvlOverride>
  </w:num>
  <w:num w:numId="8">
    <w:abstractNumId w:val="11"/>
  </w:num>
  <w:num w:numId="9">
    <w:abstractNumId w:val="14"/>
  </w:num>
  <w:num w:numId="10">
    <w:abstractNumId w:val="26"/>
  </w:num>
  <w:num w:numId="11">
    <w:abstractNumId w:val="12"/>
  </w:num>
  <w:num w:numId="12">
    <w:abstractNumId w:val="3"/>
  </w:num>
  <w:num w:numId="13">
    <w:abstractNumId w:val="25"/>
  </w:num>
  <w:num w:numId="14">
    <w:abstractNumId w:val="23"/>
  </w:num>
  <w:num w:numId="15">
    <w:abstractNumId w:val="16"/>
  </w:num>
  <w:num w:numId="16">
    <w:abstractNumId w:val="15"/>
  </w:num>
  <w:num w:numId="17">
    <w:abstractNumId w:val="22"/>
  </w:num>
  <w:num w:numId="18">
    <w:abstractNumId w:val="24"/>
  </w:num>
  <w:num w:numId="19">
    <w:abstractNumId w:val="13"/>
  </w:num>
  <w:num w:numId="20">
    <w:abstractNumId w:val="9"/>
  </w:num>
  <w:num w:numId="21">
    <w:abstractNumId w:val="0"/>
    <w:lvlOverride w:ilvl="0">
      <w:lvl w:ilvl="0">
        <w:start w:val="1"/>
        <w:numFmt w:val="bullet"/>
        <w:pStyle w:val="Preporuka"/>
        <w:lvlText w:val=""/>
        <w:lvlJc w:val="left"/>
        <w:pPr>
          <w:tabs>
            <w:tab w:val="num" w:pos="473"/>
          </w:tabs>
          <w:ind w:left="473" w:hanging="360"/>
        </w:pPr>
        <w:rPr>
          <w:rFonts w:ascii="Wingdings" w:hAnsi="Wingdings" w:hint="default"/>
          <w:color w:val="000080"/>
        </w:rPr>
      </w:lvl>
    </w:lvlOverride>
  </w:num>
  <w:num w:numId="22">
    <w:abstractNumId w:val="17"/>
  </w:num>
  <w:num w:numId="23">
    <w:abstractNumId w:val="19"/>
  </w:num>
  <w:num w:numId="24">
    <w:abstractNumId w:val="20"/>
  </w:num>
  <w:num w:numId="25">
    <w:abstractNumId w:val="5"/>
  </w:num>
  <w:num w:numId="26">
    <w:abstractNumId w:val="10"/>
  </w:num>
  <w:num w:numId="27">
    <w:abstractNumId w:val="2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5EEB"/>
    <w:rsid w:val="0000355B"/>
    <w:rsid w:val="00012395"/>
    <w:rsid w:val="00014754"/>
    <w:rsid w:val="0001725F"/>
    <w:rsid w:val="00017D2C"/>
    <w:rsid w:val="00022F2E"/>
    <w:rsid w:val="00030A81"/>
    <w:rsid w:val="00060CB7"/>
    <w:rsid w:val="00070D75"/>
    <w:rsid w:val="0007285A"/>
    <w:rsid w:val="00082F01"/>
    <w:rsid w:val="000973B3"/>
    <w:rsid w:val="000A1841"/>
    <w:rsid w:val="000B54F6"/>
    <w:rsid w:val="000C0244"/>
    <w:rsid w:val="000C0606"/>
    <w:rsid w:val="000C0D65"/>
    <w:rsid w:val="000D4477"/>
    <w:rsid w:val="000D5E31"/>
    <w:rsid w:val="000D6500"/>
    <w:rsid w:val="000E0E4C"/>
    <w:rsid w:val="000E1F03"/>
    <w:rsid w:val="000E5597"/>
    <w:rsid w:val="000E585F"/>
    <w:rsid w:val="00104447"/>
    <w:rsid w:val="00105482"/>
    <w:rsid w:val="0011315B"/>
    <w:rsid w:val="00113387"/>
    <w:rsid w:val="00123DEA"/>
    <w:rsid w:val="00123FAD"/>
    <w:rsid w:val="00126FB0"/>
    <w:rsid w:val="0013670E"/>
    <w:rsid w:val="00153927"/>
    <w:rsid w:val="001545AB"/>
    <w:rsid w:val="00161E0E"/>
    <w:rsid w:val="00162E0E"/>
    <w:rsid w:val="001675FB"/>
    <w:rsid w:val="0016777A"/>
    <w:rsid w:val="00176374"/>
    <w:rsid w:val="0017713E"/>
    <w:rsid w:val="001776ED"/>
    <w:rsid w:val="001777FB"/>
    <w:rsid w:val="00181B55"/>
    <w:rsid w:val="00184324"/>
    <w:rsid w:val="00185A70"/>
    <w:rsid w:val="0019116E"/>
    <w:rsid w:val="00193211"/>
    <w:rsid w:val="00196B7D"/>
    <w:rsid w:val="001A4454"/>
    <w:rsid w:val="001A6F43"/>
    <w:rsid w:val="001B1115"/>
    <w:rsid w:val="001C0274"/>
    <w:rsid w:val="001C45CC"/>
    <w:rsid w:val="001D0EBB"/>
    <w:rsid w:val="001E217C"/>
    <w:rsid w:val="001E262D"/>
    <w:rsid w:val="001E36D2"/>
    <w:rsid w:val="001F687A"/>
    <w:rsid w:val="00201909"/>
    <w:rsid w:val="00206773"/>
    <w:rsid w:val="00216B36"/>
    <w:rsid w:val="00222FA8"/>
    <w:rsid w:val="00223B66"/>
    <w:rsid w:val="00225490"/>
    <w:rsid w:val="00236438"/>
    <w:rsid w:val="00236D2F"/>
    <w:rsid w:val="0024581A"/>
    <w:rsid w:val="002504B1"/>
    <w:rsid w:val="00253355"/>
    <w:rsid w:val="002537D6"/>
    <w:rsid w:val="002607CA"/>
    <w:rsid w:val="00262047"/>
    <w:rsid w:val="00263007"/>
    <w:rsid w:val="00263D89"/>
    <w:rsid w:val="0026587A"/>
    <w:rsid w:val="002675F9"/>
    <w:rsid w:val="00267A55"/>
    <w:rsid w:val="002773A4"/>
    <w:rsid w:val="002901B9"/>
    <w:rsid w:val="00294435"/>
    <w:rsid w:val="002A126F"/>
    <w:rsid w:val="002B037F"/>
    <w:rsid w:val="002B0C69"/>
    <w:rsid w:val="002B0C6E"/>
    <w:rsid w:val="002B3C74"/>
    <w:rsid w:val="002C5056"/>
    <w:rsid w:val="002C69EC"/>
    <w:rsid w:val="002D3830"/>
    <w:rsid w:val="002D56BA"/>
    <w:rsid w:val="002E2135"/>
    <w:rsid w:val="002E2F0A"/>
    <w:rsid w:val="002E36EF"/>
    <w:rsid w:val="002E6416"/>
    <w:rsid w:val="002F10F2"/>
    <w:rsid w:val="002F4F76"/>
    <w:rsid w:val="00300725"/>
    <w:rsid w:val="003025FE"/>
    <w:rsid w:val="003043FB"/>
    <w:rsid w:val="0031090B"/>
    <w:rsid w:val="00312754"/>
    <w:rsid w:val="003170BB"/>
    <w:rsid w:val="00320281"/>
    <w:rsid w:val="00322A9A"/>
    <w:rsid w:val="00327D00"/>
    <w:rsid w:val="00332B2B"/>
    <w:rsid w:val="00333439"/>
    <w:rsid w:val="00333B89"/>
    <w:rsid w:val="00351158"/>
    <w:rsid w:val="003638F2"/>
    <w:rsid w:val="00371DBE"/>
    <w:rsid w:val="003739C9"/>
    <w:rsid w:val="00376006"/>
    <w:rsid w:val="00376634"/>
    <w:rsid w:val="0037741F"/>
    <w:rsid w:val="003809A3"/>
    <w:rsid w:val="003857BB"/>
    <w:rsid w:val="00385932"/>
    <w:rsid w:val="00392A25"/>
    <w:rsid w:val="003A10EA"/>
    <w:rsid w:val="003A5966"/>
    <w:rsid w:val="003A64BD"/>
    <w:rsid w:val="003B40A3"/>
    <w:rsid w:val="003C22A5"/>
    <w:rsid w:val="003C5192"/>
    <w:rsid w:val="003C5252"/>
    <w:rsid w:val="003D7C06"/>
    <w:rsid w:val="003F35FC"/>
    <w:rsid w:val="003F46B2"/>
    <w:rsid w:val="003F5200"/>
    <w:rsid w:val="003F5D31"/>
    <w:rsid w:val="00407D5F"/>
    <w:rsid w:val="00411846"/>
    <w:rsid w:val="00413C08"/>
    <w:rsid w:val="00414DF4"/>
    <w:rsid w:val="004161F6"/>
    <w:rsid w:val="00424AAE"/>
    <w:rsid w:val="004314A6"/>
    <w:rsid w:val="004314FA"/>
    <w:rsid w:val="004374A1"/>
    <w:rsid w:val="00444CD4"/>
    <w:rsid w:val="00450429"/>
    <w:rsid w:val="00452A84"/>
    <w:rsid w:val="004530E4"/>
    <w:rsid w:val="004546E1"/>
    <w:rsid w:val="0045678C"/>
    <w:rsid w:val="00462F88"/>
    <w:rsid w:val="00466BD3"/>
    <w:rsid w:val="00470150"/>
    <w:rsid w:val="0047143A"/>
    <w:rsid w:val="0047361A"/>
    <w:rsid w:val="004744C2"/>
    <w:rsid w:val="004765BE"/>
    <w:rsid w:val="00480891"/>
    <w:rsid w:val="0048321B"/>
    <w:rsid w:val="00483C05"/>
    <w:rsid w:val="0049004F"/>
    <w:rsid w:val="00491DA5"/>
    <w:rsid w:val="004A0605"/>
    <w:rsid w:val="004A107B"/>
    <w:rsid w:val="004A2AA9"/>
    <w:rsid w:val="004B4567"/>
    <w:rsid w:val="004C1B22"/>
    <w:rsid w:val="004C75B3"/>
    <w:rsid w:val="004C7FD8"/>
    <w:rsid w:val="004D0156"/>
    <w:rsid w:val="005002EC"/>
    <w:rsid w:val="00510BD9"/>
    <w:rsid w:val="005127A6"/>
    <w:rsid w:val="00513486"/>
    <w:rsid w:val="005445B2"/>
    <w:rsid w:val="005612BA"/>
    <w:rsid w:val="0056352B"/>
    <w:rsid w:val="00573C50"/>
    <w:rsid w:val="005749B8"/>
    <w:rsid w:val="00577972"/>
    <w:rsid w:val="0058022A"/>
    <w:rsid w:val="00581C1F"/>
    <w:rsid w:val="00586B72"/>
    <w:rsid w:val="00590694"/>
    <w:rsid w:val="0059315F"/>
    <w:rsid w:val="005A238B"/>
    <w:rsid w:val="005A253C"/>
    <w:rsid w:val="005A2DB8"/>
    <w:rsid w:val="005A590B"/>
    <w:rsid w:val="005A767B"/>
    <w:rsid w:val="005B0CDE"/>
    <w:rsid w:val="005B2D4E"/>
    <w:rsid w:val="005B2F20"/>
    <w:rsid w:val="005C09AD"/>
    <w:rsid w:val="005D60DE"/>
    <w:rsid w:val="005E3E89"/>
    <w:rsid w:val="005F37C2"/>
    <w:rsid w:val="006001C8"/>
    <w:rsid w:val="00605EEB"/>
    <w:rsid w:val="00607459"/>
    <w:rsid w:val="006116FE"/>
    <w:rsid w:val="00611B8F"/>
    <w:rsid w:val="00611FFF"/>
    <w:rsid w:val="006137EC"/>
    <w:rsid w:val="00623EBE"/>
    <w:rsid w:val="00630007"/>
    <w:rsid w:val="006313F4"/>
    <w:rsid w:val="00632096"/>
    <w:rsid w:val="006329FD"/>
    <w:rsid w:val="00634C1B"/>
    <w:rsid w:val="00635127"/>
    <w:rsid w:val="00636966"/>
    <w:rsid w:val="00642B64"/>
    <w:rsid w:val="006449E7"/>
    <w:rsid w:val="00644E94"/>
    <w:rsid w:val="006458D9"/>
    <w:rsid w:val="00653A20"/>
    <w:rsid w:val="00656919"/>
    <w:rsid w:val="00665C0D"/>
    <w:rsid w:val="006753B3"/>
    <w:rsid w:val="00683B59"/>
    <w:rsid w:val="00687124"/>
    <w:rsid w:val="006954EC"/>
    <w:rsid w:val="006974A2"/>
    <w:rsid w:val="006A20D1"/>
    <w:rsid w:val="006A234F"/>
    <w:rsid w:val="006A47CF"/>
    <w:rsid w:val="006B07C8"/>
    <w:rsid w:val="006B0EB8"/>
    <w:rsid w:val="006B1EEB"/>
    <w:rsid w:val="006B23BD"/>
    <w:rsid w:val="006C1B88"/>
    <w:rsid w:val="006C3842"/>
    <w:rsid w:val="006E50CA"/>
    <w:rsid w:val="006E7544"/>
    <w:rsid w:val="006F2A73"/>
    <w:rsid w:val="007004DD"/>
    <w:rsid w:val="00710E5C"/>
    <w:rsid w:val="0071377C"/>
    <w:rsid w:val="00715215"/>
    <w:rsid w:val="00717EE6"/>
    <w:rsid w:val="00721A72"/>
    <w:rsid w:val="007221BA"/>
    <w:rsid w:val="00731955"/>
    <w:rsid w:val="0073267D"/>
    <w:rsid w:val="007331B0"/>
    <w:rsid w:val="007436F2"/>
    <w:rsid w:val="00746170"/>
    <w:rsid w:val="00750FD2"/>
    <w:rsid w:val="007537A7"/>
    <w:rsid w:val="00754B8B"/>
    <w:rsid w:val="00754CCA"/>
    <w:rsid w:val="00766654"/>
    <w:rsid w:val="00771CE2"/>
    <w:rsid w:val="00784857"/>
    <w:rsid w:val="007862E1"/>
    <w:rsid w:val="00790A9D"/>
    <w:rsid w:val="00790E86"/>
    <w:rsid w:val="00794E4F"/>
    <w:rsid w:val="007A0E35"/>
    <w:rsid w:val="007A46FD"/>
    <w:rsid w:val="007B262B"/>
    <w:rsid w:val="007B417B"/>
    <w:rsid w:val="007B6DC2"/>
    <w:rsid w:val="007D5579"/>
    <w:rsid w:val="007D5954"/>
    <w:rsid w:val="007E0B3D"/>
    <w:rsid w:val="007F0FE5"/>
    <w:rsid w:val="007F1004"/>
    <w:rsid w:val="00800965"/>
    <w:rsid w:val="00802001"/>
    <w:rsid w:val="00802EF9"/>
    <w:rsid w:val="00803ACC"/>
    <w:rsid w:val="00803CA1"/>
    <w:rsid w:val="00805CE7"/>
    <w:rsid w:val="00806251"/>
    <w:rsid w:val="00807301"/>
    <w:rsid w:val="00812BCD"/>
    <w:rsid w:val="00814885"/>
    <w:rsid w:val="00816F3E"/>
    <w:rsid w:val="00821397"/>
    <w:rsid w:val="00827E6C"/>
    <w:rsid w:val="0083097C"/>
    <w:rsid w:val="00831519"/>
    <w:rsid w:val="0083161B"/>
    <w:rsid w:val="008431E8"/>
    <w:rsid w:val="00845F41"/>
    <w:rsid w:val="00851DE9"/>
    <w:rsid w:val="008615F8"/>
    <w:rsid w:val="008665E1"/>
    <w:rsid w:val="00884D58"/>
    <w:rsid w:val="008874C0"/>
    <w:rsid w:val="0089009D"/>
    <w:rsid w:val="008905ED"/>
    <w:rsid w:val="00892B7F"/>
    <w:rsid w:val="00893519"/>
    <w:rsid w:val="008A7A5D"/>
    <w:rsid w:val="008B5375"/>
    <w:rsid w:val="008C08D8"/>
    <w:rsid w:val="008C1574"/>
    <w:rsid w:val="008C69E4"/>
    <w:rsid w:val="008C77D0"/>
    <w:rsid w:val="008D6E3E"/>
    <w:rsid w:val="008E22B1"/>
    <w:rsid w:val="008F4ED4"/>
    <w:rsid w:val="008F54A7"/>
    <w:rsid w:val="008F6F25"/>
    <w:rsid w:val="008F6FC2"/>
    <w:rsid w:val="008F7CB1"/>
    <w:rsid w:val="00903B77"/>
    <w:rsid w:val="00904D83"/>
    <w:rsid w:val="009073D0"/>
    <w:rsid w:val="009150E8"/>
    <w:rsid w:val="0091606B"/>
    <w:rsid w:val="00917F4E"/>
    <w:rsid w:val="0092184D"/>
    <w:rsid w:val="00936F15"/>
    <w:rsid w:val="0093778E"/>
    <w:rsid w:val="00937DE4"/>
    <w:rsid w:val="009400FE"/>
    <w:rsid w:val="009468F1"/>
    <w:rsid w:val="009566A5"/>
    <w:rsid w:val="0095673F"/>
    <w:rsid w:val="00965BBB"/>
    <w:rsid w:val="009716E8"/>
    <w:rsid w:val="009775A6"/>
    <w:rsid w:val="00982799"/>
    <w:rsid w:val="00984EE2"/>
    <w:rsid w:val="00985457"/>
    <w:rsid w:val="009873FC"/>
    <w:rsid w:val="00987A4D"/>
    <w:rsid w:val="0099153A"/>
    <w:rsid w:val="00997D96"/>
    <w:rsid w:val="009A111D"/>
    <w:rsid w:val="009A4CCA"/>
    <w:rsid w:val="009B01EA"/>
    <w:rsid w:val="009B3986"/>
    <w:rsid w:val="009B4BDB"/>
    <w:rsid w:val="009B5AA1"/>
    <w:rsid w:val="009D0368"/>
    <w:rsid w:val="009D5E0D"/>
    <w:rsid w:val="009E01FF"/>
    <w:rsid w:val="009E633A"/>
    <w:rsid w:val="009F01ED"/>
    <w:rsid w:val="009F222D"/>
    <w:rsid w:val="00A06D63"/>
    <w:rsid w:val="00A15016"/>
    <w:rsid w:val="00A2126F"/>
    <w:rsid w:val="00A235D0"/>
    <w:rsid w:val="00A24128"/>
    <w:rsid w:val="00A24B91"/>
    <w:rsid w:val="00A25139"/>
    <w:rsid w:val="00A33834"/>
    <w:rsid w:val="00A3415B"/>
    <w:rsid w:val="00A412C2"/>
    <w:rsid w:val="00A43363"/>
    <w:rsid w:val="00A433AD"/>
    <w:rsid w:val="00A46B38"/>
    <w:rsid w:val="00A55842"/>
    <w:rsid w:val="00A63CB9"/>
    <w:rsid w:val="00A74B01"/>
    <w:rsid w:val="00A74D8D"/>
    <w:rsid w:val="00A7666B"/>
    <w:rsid w:val="00A8095F"/>
    <w:rsid w:val="00A83AEA"/>
    <w:rsid w:val="00A83CE1"/>
    <w:rsid w:val="00A872E7"/>
    <w:rsid w:val="00A938AE"/>
    <w:rsid w:val="00A944D4"/>
    <w:rsid w:val="00A95B04"/>
    <w:rsid w:val="00AA6320"/>
    <w:rsid w:val="00AB295E"/>
    <w:rsid w:val="00AC0C78"/>
    <w:rsid w:val="00AD430F"/>
    <w:rsid w:val="00AD794B"/>
    <w:rsid w:val="00AE40C5"/>
    <w:rsid w:val="00AE73C9"/>
    <w:rsid w:val="00AE7B00"/>
    <w:rsid w:val="00AF2B55"/>
    <w:rsid w:val="00B10E81"/>
    <w:rsid w:val="00B122CA"/>
    <w:rsid w:val="00B13E59"/>
    <w:rsid w:val="00B17CCA"/>
    <w:rsid w:val="00B214BE"/>
    <w:rsid w:val="00B2452B"/>
    <w:rsid w:val="00B25734"/>
    <w:rsid w:val="00B365B9"/>
    <w:rsid w:val="00B42A7B"/>
    <w:rsid w:val="00B53E63"/>
    <w:rsid w:val="00B60F67"/>
    <w:rsid w:val="00B6591D"/>
    <w:rsid w:val="00B676CD"/>
    <w:rsid w:val="00B73599"/>
    <w:rsid w:val="00B8207A"/>
    <w:rsid w:val="00B8676E"/>
    <w:rsid w:val="00B94043"/>
    <w:rsid w:val="00B94F5A"/>
    <w:rsid w:val="00BA30C0"/>
    <w:rsid w:val="00BA6836"/>
    <w:rsid w:val="00BA6A99"/>
    <w:rsid w:val="00BB5264"/>
    <w:rsid w:val="00BB59B8"/>
    <w:rsid w:val="00BB7F80"/>
    <w:rsid w:val="00BD0EFC"/>
    <w:rsid w:val="00BD2BB5"/>
    <w:rsid w:val="00BD4FA9"/>
    <w:rsid w:val="00BE2FD6"/>
    <w:rsid w:val="00BE5620"/>
    <w:rsid w:val="00BE6A31"/>
    <w:rsid w:val="00BE725E"/>
    <w:rsid w:val="00BF0675"/>
    <w:rsid w:val="00BF1F52"/>
    <w:rsid w:val="00BF29A6"/>
    <w:rsid w:val="00BF2B52"/>
    <w:rsid w:val="00C17258"/>
    <w:rsid w:val="00C25F73"/>
    <w:rsid w:val="00C359AF"/>
    <w:rsid w:val="00C37429"/>
    <w:rsid w:val="00C37A56"/>
    <w:rsid w:val="00C431B3"/>
    <w:rsid w:val="00C453DE"/>
    <w:rsid w:val="00C45F61"/>
    <w:rsid w:val="00C55E8F"/>
    <w:rsid w:val="00C56A91"/>
    <w:rsid w:val="00C5777C"/>
    <w:rsid w:val="00C6108A"/>
    <w:rsid w:val="00C64AC7"/>
    <w:rsid w:val="00C675AF"/>
    <w:rsid w:val="00C675ED"/>
    <w:rsid w:val="00C75D60"/>
    <w:rsid w:val="00C76714"/>
    <w:rsid w:val="00C769A5"/>
    <w:rsid w:val="00C77E8A"/>
    <w:rsid w:val="00C86ED5"/>
    <w:rsid w:val="00C91BF5"/>
    <w:rsid w:val="00C9648F"/>
    <w:rsid w:val="00CA5FDB"/>
    <w:rsid w:val="00CB7089"/>
    <w:rsid w:val="00CC0647"/>
    <w:rsid w:val="00CC2470"/>
    <w:rsid w:val="00CC7E81"/>
    <w:rsid w:val="00CD42D6"/>
    <w:rsid w:val="00CE4565"/>
    <w:rsid w:val="00CE56FE"/>
    <w:rsid w:val="00CF2963"/>
    <w:rsid w:val="00CF3364"/>
    <w:rsid w:val="00D00D6A"/>
    <w:rsid w:val="00D02A5B"/>
    <w:rsid w:val="00D05A0F"/>
    <w:rsid w:val="00D066EA"/>
    <w:rsid w:val="00D12B06"/>
    <w:rsid w:val="00D16EAB"/>
    <w:rsid w:val="00D17AD5"/>
    <w:rsid w:val="00D262BB"/>
    <w:rsid w:val="00D27384"/>
    <w:rsid w:val="00D3051D"/>
    <w:rsid w:val="00D309E0"/>
    <w:rsid w:val="00D318F2"/>
    <w:rsid w:val="00D32B99"/>
    <w:rsid w:val="00D45D89"/>
    <w:rsid w:val="00D4614A"/>
    <w:rsid w:val="00D469BB"/>
    <w:rsid w:val="00D51881"/>
    <w:rsid w:val="00D65504"/>
    <w:rsid w:val="00D66C2B"/>
    <w:rsid w:val="00D77BA4"/>
    <w:rsid w:val="00D93C3D"/>
    <w:rsid w:val="00DA0C05"/>
    <w:rsid w:val="00DA2515"/>
    <w:rsid w:val="00DA47B4"/>
    <w:rsid w:val="00DA65A2"/>
    <w:rsid w:val="00DA6D1D"/>
    <w:rsid w:val="00DB04D4"/>
    <w:rsid w:val="00DC060C"/>
    <w:rsid w:val="00DC17A9"/>
    <w:rsid w:val="00DC1ADE"/>
    <w:rsid w:val="00DC31CB"/>
    <w:rsid w:val="00DC61CE"/>
    <w:rsid w:val="00DC6296"/>
    <w:rsid w:val="00DD1403"/>
    <w:rsid w:val="00DD7704"/>
    <w:rsid w:val="00DE6683"/>
    <w:rsid w:val="00DF0F75"/>
    <w:rsid w:val="00DF47E2"/>
    <w:rsid w:val="00DF48AF"/>
    <w:rsid w:val="00E00937"/>
    <w:rsid w:val="00E036BD"/>
    <w:rsid w:val="00E0737A"/>
    <w:rsid w:val="00E119FA"/>
    <w:rsid w:val="00E15187"/>
    <w:rsid w:val="00E16C29"/>
    <w:rsid w:val="00E16CF6"/>
    <w:rsid w:val="00E21E2B"/>
    <w:rsid w:val="00E231E4"/>
    <w:rsid w:val="00E23BC7"/>
    <w:rsid w:val="00E23DE9"/>
    <w:rsid w:val="00E416CD"/>
    <w:rsid w:val="00E44F65"/>
    <w:rsid w:val="00E47928"/>
    <w:rsid w:val="00E57271"/>
    <w:rsid w:val="00E659CB"/>
    <w:rsid w:val="00E66E5C"/>
    <w:rsid w:val="00E670C2"/>
    <w:rsid w:val="00E70A75"/>
    <w:rsid w:val="00E7103D"/>
    <w:rsid w:val="00E71161"/>
    <w:rsid w:val="00E809BA"/>
    <w:rsid w:val="00E84E9B"/>
    <w:rsid w:val="00E95C1A"/>
    <w:rsid w:val="00EA043B"/>
    <w:rsid w:val="00EA078C"/>
    <w:rsid w:val="00EA3FA3"/>
    <w:rsid w:val="00EA497E"/>
    <w:rsid w:val="00EA4BDD"/>
    <w:rsid w:val="00EB4B7B"/>
    <w:rsid w:val="00EB54FC"/>
    <w:rsid w:val="00EC01C5"/>
    <w:rsid w:val="00EC5914"/>
    <w:rsid w:val="00ED35F2"/>
    <w:rsid w:val="00ED5B90"/>
    <w:rsid w:val="00ED7740"/>
    <w:rsid w:val="00EF3299"/>
    <w:rsid w:val="00EF4271"/>
    <w:rsid w:val="00F00CA4"/>
    <w:rsid w:val="00F01A07"/>
    <w:rsid w:val="00F063C5"/>
    <w:rsid w:val="00F1526F"/>
    <w:rsid w:val="00F159AB"/>
    <w:rsid w:val="00F16D7E"/>
    <w:rsid w:val="00F17A0E"/>
    <w:rsid w:val="00F21AE4"/>
    <w:rsid w:val="00F23165"/>
    <w:rsid w:val="00F24387"/>
    <w:rsid w:val="00F264F1"/>
    <w:rsid w:val="00F30A5F"/>
    <w:rsid w:val="00F35A0F"/>
    <w:rsid w:val="00F419A1"/>
    <w:rsid w:val="00F45F83"/>
    <w:rsid w:val="00F61098"/>
    <w:rsid w:val="00F718AA"/>
    <w:rsid w:val="00F73C9A"/>
    <w:rsid w:val="00F804E7"/>
    <w:rsid w:val="00F901D0"/>
    <w:rsid w:val="00F9373B"/>
    <w:rsid w:val="00F9506C"/>
    <w:rsid w:val="00F957EC"/>
    <w:rsid w:val="00FA0C2D"/>
    <w:rsid w:val="00FA2F9E"/>
    <w:rsid w:val="00FB145B"/>
    <w:rsid w:val="00FB2013"/>
    <w:rsid w:val="00FC2E49"/>
    <w:rsid w:val="00FC359B"/>
    <w:rsid w:val="00FD1578"/>
    <w:rsid w:val="00FD6F82"/>
    <w:rsid w:val="00FE2AE0"/>
    <w:rsid w:val="00FE6DE2"/>
    <w:rsid w:val="00FF168C"/>
    <w:rsid w:val="00FF4261"/>
    <w:rsid w:val="00FF4E0B"/>
  </w:rsids>
  <m:mathPr>
    <m:mathFont m:val="Cambria Math"/>
    <m:brkBin m:val="before"/>
    <m:brkBinSub m:val="--"/>
    <m:smallFrac/>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730109-97BD-44F0-B07F-77DAB859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EEB"/>
    <w:rPr>
      <w:sz w:val="24"/>
      <w:szCs w:val="24"/>
    </w:rPr>
  </w:style>
  <w:style w:type="paragraph" w:styleId="Heading1">
    <w:name w:val="heading 1"/>
    <w:basedOn w:val="Normal"/>
    <w:next w:val="Normal"/>
    <w:qFormat/>
    <w:rsid w:val="00605EEB"/>
    <w:pPr>
      <w:keepNext/>
      <w:outlineLvl w:val="0"/>
    </w:pPr>
    <w:rPr>
      <w:rFonts w:ascii="Times-C" w:hAnsi="Times-C"/>
      <w:b/>
      <w:bCs/>
      <w:sz w:val="72"/>
      <w:lang w:val="en-GB"/>
    </w:rPr>
  </w:style>
  <w:style w:type="paragraph" w:styleId="Heading2">
    <w:name w:val="heading 2"/>
    <w:basedOn w:val="Normal"/>
    <w:next w:val="Normal"/>
    <w:link w:val="Heading2Char"/>
    <w:uiPriority w:val="9"/>
    <w:unhideWhenUsed/>
    <w:qFormat/>
    <w:rsid w:val="00A55842"/>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5EEB"/>
    <w:rPr>
      <w:color w:val="0000FF"/>
      <w:u w:val="single"/>
    </w:rPr>
  </w:style>
  <w:style w:type="paragraph" w:styleId="Footer">
    <w:name w:val="footer"/>
    <w:basedOn w:val="Normal"/>
    <w:link w:val="FooterChar"/>
    <w:rsid w:val="00605EEB"/>
    <w:pPr>
      <w:tabs>
        <w:tab w:val="center" w:pos="4535"/>
        <w:tab w:val="right" w:pos="9071"/>
      </w:tabs>
    </w:pPr>
  </w:style>
  <w:style w:type="paragraph" w:styleId="Header">
    <w:name w:val="header"/>
    <w:basedOn w:val="Normal"/>
    <w:rsid w:val="0001725F"/>
    <w:pPr>
      <w:tabs>
        <w:tab w:val="center" w:pos="4320"/>
        <w:tab w:val="right" w:pos="8640"/>
      </w:tabs>
    </w:pPr>
  </w:style>
  <w:style w:type="table" w:styleId="TableGrid">
    <w:name w:val="Table Grid"/>
    <w:basedOn w:val="TableNormal"/>
    <w:rsid w:val="00630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438"/>
    <w:rPr>
      <w:rFonts w:ascii="Tahoma" w:hAnsi="Tahoma"/>
      <w:sz w:val="16"/>
      <w:szCs w:val="16"/>
    </w:rPr>
  </w:style>
  <w:style w:type="character" w:customStyle="1" w:styleId="BalloonTextChar">
    <w:name w:val="Balloon Text Char"/>
    <w:link w:val="BalloonText"/>
    <w:uiPriority w:val="99"/>
    <w:semiHidden/>
    <w:rsid w:val="00236438"/>
    <w:rPr>
      <w:rFonts w:ascii="Tahoma" w:hAnsi="Tahoma" w:cs="Tahoma"/>
      <w:sz w:val="16"/>
      <w:szCs w:val="16"/>
    </w:rPr>
  </w:style>
  <w:style w:type="character" w:customStyle="1" w:styleId="FooterChar">
    <w:name w:val="Footer Char"/>
    <w:link w:val="Footer"/>
    <w:rsid w:val="008F4ED4"/>
    <w:rPr>
      <w:sz w:val="24"/>
      <w:szCs w:val="24"/>
      <w:lang w:val="en-US" w:eastAsia="en-US"/>
    </w:rPr>
  </w:style>
  <w:style w:type="paragraph" w:styleId="ListParagraph">
    <w:name w:val="List Paragraph"/>
    <w:aliases w:val="Bullets,List Paragraph1"/>
    <w:basedOn w:val="Normal"/>
    <w:link w:val="ListParagraphChar"/>
    <w:uiPriority w:val="34"/>
    <w:qFormat/>
    <w:rsid w:val="00BE725E"/>
    <w:pPr>
      <w:ind w:left="720"/>
      <w:contextualSpacing/>
    </w:pPr>
  </w:style>
  <w:style w:type="paragraph" w:styleId="NoSpacing">
    <w:name w:val="No Spacing"/>
    <w:uiPriority w:val="1"/>
    <w:qFormat/>
    <w:rsid w:val="00EC01C5"/>
    <w:rPr>
      <w:rFonts w:ascii="Calibri" w:eastAsia="Calibri" w:hAnsi="Calibri"/>
      <w:sz w:val="22"/>
      <w:szCs w:val="22"/>
    </w:rPr>
  </w:style>
  <w:style w:type="character" w:customStyle="1" w:styleId="Heading2Char">
    <w:name w:val="Heading 2 Char"/>
    <w:link w:val="Heading2"/>
    <w:uiPriority w:val="9"/>
    <w:rsid w:val="00A55842"/>
    <w:rPr>
      <w:rFonts w:ascii="Cambria" w:eastAsia="Times New Roman" w:hAnsi="Cambria" w:cs="Times New Roman"/>
      <w:b/>
      <w:bCs/>
      <w:color w:val="4F81BD"/>
      <w:sz w:val="26"/>
      <w:szCs w:val="26"/>
      <w:lang w:val="en-US" w:eastAsia="en-US"/>
    </w:rPr>
  </w:style>
  <w:style w:type="paragraph" w:styleId="BodyText">
    <w:name w:val="Body Text"/>
    <w:basedOn w:val="Normal"/>
    <w:link w:val="BodyTextChar"/>
    <w:rsid w:val="00A55842"/>
    <w:pPr>
      <w:spacing w:before="120" w:after="240"/>
      <w:jc w:val="both"/>
    </w:pPr>
    <w:rPr>
      <w:rFonts w:ascii="Arial" w:hAnsi="Arial"/>
      <w:sz w:val="20"/>
      <w:szCs w:val="20"/>
    </w:rPr>
  </w:style>
  <w:style w:type="character" w:customStyle="1" w:styleId="BodyTextChar">
    <w:name w:val="Body Text Char"/>
    <w:link w:val="BodyText"/>
    <w:rsid w:val="00A55842"/>
    <w:rPr>
      <w:rFonts w:ascii="Arial" w:hAnsi="Arial" w:cs="Arial"/>
      <w:lang w:val="en-US" w:eastAsia="en-US"/>
    </w:rPr>
  </w:style>
  <w:style w:type="paragraph" w:customStyle="1" w:styleId="Preporuka">
    <w:name w:val="Preporuka"/>
    <w:basedOn w:val="Normal"/>
    <w:rsid w:val="00A55842"/>
    <w:pPr>
      <w:numPr>
        <w:numId w:val="7"/>
      </w:numPr>
      <w:spacing w:before="100" w:after="120"/>
      <w:ind w:right="142"/>
      <w:jc w:val="both"/>
    </w:pPr>
    <w:rPr>
      <w:sz w:val="22"/>
      <w:szCs w:val="20"/>
    </w:rPr>
  </w:style>
  <w:style w:type="paragraph" w:customStyle="1" w:styleId="zapazanje">
    <w:name w:val="zapazanje"/>
    <w:basedOn w:val="Normal"/>
    <w:rsid w:val="00A55842"/>
    <w:pPr>
      <w:spacing w:before="100" w:after="120"/>
      <w:ind w:left="113" w:right="142"/>
      <w:jc w:val="both"/>
    </w:pPr>
    <w:rPr>
      <w:rFonts w:ascii="Times New Roman Bold" w:hAnsi="Times New Roman Bold"/>
      <w:b/>
      <w:bCs/>
      <w:i/>
      <w:color w:val="000080"/>
      <w:sz w:val="22"/>
      <w:szCs w:val="20"/>
      <w:lang w:val="sl-SI"/>
    </w:rPr>
  </w:style>
  <w:style w:type="paragraph" w:styleId="CommentText">
    <w:name w:val="annotation text"/>
    <w:basedOn w:val="Normal"/>
    <w:link w:val="CommentTextChar"/>
    <w:semiHidden/>
    <w:rsid w:val="00A55842"/>
    <w:rPr>
      <w:rFonts w:ascii="Helvetica" w:hAnsi="Helvetica"/>
      <w:snapToGrid w:val="0"/>
      <w:sz w:val="22"/>
      <w:szCs w:val="20"/>
    </w:rPr>
  </w:style>
  <w:style w:type="character" w:customStyle="1" w:styleId="CommentTextChar">
    <w:name w:val="Comment Text Char"/>
    <w:link w:val="CommentText"/>
    <w:semiHidden/>
    <w:rsid w:val="00A55842"/>
    <w:rPr>
      <w:rFonts w:ascii="Helvetica" w:hAnsi="Helvetica"/>
      <w:snapToGrid w:val="0"/>
      <w:sz w:val="22"/>
    </w:rPr>
  </w:style>
  <w:style w:type="paragraph" w:styleId="NormalWeb">
    <w:name w:val="Normal (Web)"/>
    <w:basedOn w:val="Normal"/>
    <w:rsid w:val="00766654"/>
    <w:pPr>
      <w:spacing w:before="100" w:beforeAutospacing="1" w:after="100" w:afterAutospacing="1"/>
    </w:pPr>
    <w:rPr>
      <w:color w:val="000000"/>
    </w:rPr>
  </w:style>
  <w:style w:type="paragraph" w:styleId="BodyText2">
    <w:name w:val="Body Text 2"/>
    <w:basedOn w:val="Normal"/>
    <w:link w:val="BodyText2Char"/>
    <w:uiPriority w:val="99"/>
    <w:semiHidden/>
    <w:unhideWhenUsed/>
    <w:rsid w:val="00D05A0F"/>
    <w:pPr>
      <w:spacing w:after="120" w:line="480" w:lineRule="auto"/>
    </w:pPr>
  </w:style>
  <w:style w:type="character" w:customStyle="1" w:styleId="BodyText2Char">
    <w:name w:val="Body Text 2 Char"/>
    <w:link w:val="BodyText2"/>
    <w:uiPriority w:val="99"/>
    <w:semiHidden/>
    <w:rsid w:val="00D05A0F"/>
    <w:rPr>
      <w:sz w:val="24"/>
      <w:szCs w:val="24"/>
      <w:lang w:val="en-US" w:eastAsia="en-US"/>
    </w:rPr>
  </w:style>
  <w:style w:type="character" w:styleId="PageNumber">
    <w:name w:val="page number"/>
    <w:basedOn w:val="DefaultParagraphFont"/>
    <w:rsid w:val="00D05A0F"/>
  </w:style>
  <w:style w:type="paragraph" w:customStyle="1" w:styleId="note">
    <w:name w:val="note"/>
    <w:basedOn w:val="Normal"/>
    <w:rsid w:val="00DB04D4"/>
    <w:pPr>
      <w:spacing w:before="120" w:after="120"/>
      <w:jc w:val="both"/>
    </w:pPr>
    <w:rPr>
      <w:b/>
      <w:i/>
      <w:sz w:val="22"/>
      <w:szCs w:val="20"/>
    </w:rPr>
  </w:style>
  <w:style w:type="character" w:customStyle="1" w:styleId="markedcontent">
    <w:name w:val="markedcontent"/>
    <w:basedOn w:val="DefaultParagraphFont"/>
    <w:rsid w:val="00B10E81"/>
  </w:style>
  <w:style w:type="character" w:customStyle="1" w:styleId="ListParagraphChar">
    <w:name w:val="List Paragraph Char"/>
    <w:aliases w:val="Bullets Char,List Paragraph1 Char"/>
    <w:link w:val="ListParagraph"/>
    <w:uiPriority w:val="34"/>
    <w:rsid w:val="004118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2D39-BB00-40DE-B2FA-82F3F933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 Arnaut</dc:creator>
  <cp:lastModifiedBy>Slobodan Butulija</cp:lastModifiedBy>
  <cp:revision>6</cp:revision>
  <cp:lastPrinted>2023-10-05T06:42:00Z</cp:lastPrinted>
  <dcterms:created xsi:type="dcterms:W3CDTF">2024-07-16T10:10:00Z</dcterms:created>
  <dcterms:modified xsi:type="dcterms:W3CDTF">2024-07-16T11:53:00Z</dcterms:modified>
</cp:coreProperties>
</file>